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1920" w:firstLineChars="800"/>
        <w:rPr>
          <w:rFonts w:eastAsia="黑体"/>
          <w:sz w:val="24"/>
        </w:rPr>
      </w:pPr>
    </w:p>
    <w:p>
      <w:pPr>
        <w:ind w:left="716" w:leftChars="341" w:firstLine="2040" w:firstLineChars="850"/>
        <w:rPr>
          <w:rFonts w:eastAsia="黑体"/>
          <w:sz w:val="24"/>
        </w:rPr>
      </w:pPr>
    </w:p>
    <w:p>
      <w:pPr>
        <w:ind w:left="716" w:leftChars="341" w:firstLine="2040" w:firstLineChars="850"/>
        <w:rPr>
          <w:rFonts w:eastAsia="黑体"/>
          <w:sz w:val="24"/>
        </w:rPr>
      </w:pPr>
    </w:p>
    <w:p>
      <w:pPr>
        <w:ind w:left="716" w:leftChars="341" w:firstLine="2040" w:firstLineChars="850"/>
        <w:rPr>
          <w:rFonts w:eastAsia="黑体"/>
          <w:sz w:val="24"/>
        </w:rPr>
      </w:pPr>
    </w:p>
    <w:p>
      <w:pPr>
        <w:ind w:left="716" w:leftChars="341" w:firstLine="2040" w:firstLineChars="850"/>
        <w:rPr>
          <w:rFonts w:eastAsia="黑体"/>
          <w:sz w:val="24"/>
        </w:rPr>
      </w:pPr>
    </w:p>
    <w:p>
      <w:pPr>
        <w:ind w:firstLine="320" w:firstLineChars="10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龙司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宋体"/>
          <w:sz w:val="13"/>
          <w:szCs w:val="13"/>
        </w:rPr>
      </w:pPr>
      <w:r>
        <w:rPr>
          <w:rFonts w:ascii="宋体" w:hAnsi="宋体"/>
          <w:sz w:val="13"/>
          <w:szCs w:val="13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关于印发《龙南市专职人民调解员管理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暂行办法》的通知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各司法所：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现将《龙南市专职人民调解员管理暂行办法》印发给你们，请结合实际认真贯彻执行。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龙南市司法局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222222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  <w:t>龙南市专职人民调解员管理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  <w:lang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</w:rPr>
        <w:t>办法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22222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为进一步推进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市人民调解工作，加强专职人民调解员队伍建设，充分发挥专职人民调解员作用，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根据《中华人民共和国人民调解法》，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结合我市实际，特制定如下专职人民调解员管理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暂行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办法: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</w:rPr>
        <w:t>一、人员范围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本办法所称专职人民调解员，是指由龙南市司法局聘任和管理，在乡镇、村（社区）、司法所等指定办公地点专门从事人民调解相关工作的调解员。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pacing w:val="-6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222222"/>
          <w:spacing w:val="-6"/>
          <w:sz w:val="32"/>
          <w:szCs w:val="32"/>
        </w:rPr>
        <w:t>专职人民调解员的聘任、职责、解聘、培训和日常管理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  <w:t>专职人民调解员的聘任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专职人民调解员由了解社情民意、公道正派、热心人民调解工作，并具有一定文化水平、政策水平和法律知识的成年公民担任。新任专职人民调解员经各司法所推荐，由龙南市司法局聘任、培训后，持证上岗。专职人民调解员实行一年一聘制度，聘任到期后由龙南市司法局综合专职人民调解员聘期内的工作表现、年度考核和派驻单位的意见考虑续聘或解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  <w:t>专职人民调解员的工作职责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32"/>
          <w:szCs w:val="32"/>
        </w:rPr>
        <w:t>接受纠纷当事人的请求，调解民间纠纷。其中，人民调解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委员会调解的民间纠纷，具体包括: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庭关系纠纷:婚姻纠纷、抚养、赡养纠纷、继承纠纷等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;②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邻里关系纠纷:通行、通风、采光、排水、截水等纠纷;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山林、土地的使用、经营权纠纷,宅基地纠纷、责任田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经营纠纷,林木、果树地经营纠纷等;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经济纠纷、承包合同纠纷、借贷纠纷、欠款纠纷等;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损害赔偿纠纷:小区内业主财物损害赔偿纠纷、轻微人身伤害赔偿纠纷、精神损害赔偿纠纷等;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物业纠纷:小区内发生的物业管理、服务、收费等公共设施维护和损毁赔偿的纠纷;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⑦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拆迁安置的历史遗留纠纷;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⑧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小区内因相邻用水、相邻采光、排水关系、环境保护关系等发生的纠纷;</w:t>
      </w: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</w:rPr>
        <w:t>⑨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其他民间纠纷;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开展矛盾纠纷定期排查、集中排查和专项治理排查活动，开展矛盾纠纷普遍排查和重点排查活动，及时调处矛盾纠纷;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及时报告重大矛盾纠纷情况，协助有关部门做好防控调处工作，防止矛盾纠纷激化;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排查调处工作宣传法律、法规、规章和政策，摸排涉黑涉恶线索，教育公民遵纪守法，尊重社会公德，预防矛盾纠纷发生;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认真做好纠纷登记、平台录入、调解统计和卷宗制作、文书档案管理工作;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检查、督促生效调解协议的履行情况;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完成司法行政机关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、司法所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交办的其他工作。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  <w:t>专职人民调解员的解聘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专职人民调解员有下列行为之一的，由龙南市司法局予以解聘: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偏袒一方当事人或者侮辱当事人;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索取、收受财物或者牟取其他不正当利益;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泄露当事人的个人隐私、商业秘密、情节严重的;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连续旷工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天，或者一年内累计旷工时间超过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天的;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因矛盾纠纷排查或报告不及时、调处不得当，导致纠纷激化，引发群体性事件或造成其他恶劣影响的;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pacing w:val="-1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  <w:lang w:val="en-US" w:eastAsia="zh-CN"/>
        </w:rPr>
        <w:t>违规违纪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</w:rPr>
        <w:t>被纪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</w:rPr>
        <w:t>监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</w:rPr>
        <w:t>等部门或其他上级部门发现并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color w:val="222222"/>
          <w:spacing w:val="-11"/>
          <w:sz w:val="32"/>
          <w:szCs w:val="32"/>
        </w:rPr>
        <w:t>的;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违反治安管理处罚法被公安机关处理的；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不服从市司法局或派驻单位工作安排的；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年度考核为不合格的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疾病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或其他原因不适合继续从事人民调解工作的。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专职人民调解员的解聘，由其所在的司法所提出，报龙南市司法局决定。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  <w:t>专职人民调解员的培训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专职人民调解员的培训分为初任培训和年度培训。初任培训是人民调解员的任职培训。新选聘的人民调解员必须经过初任培训，培训合格后方可上岗。初任培训应当集中进行，时间不少于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天。年度培训是对在岗人民调解员进行的知识更新和技能强化培训。专职人民调解员的年度业务培训工作主要由龙南市司法局和司法所、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当地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人民调解委员会组织实施。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222222"/>
          <w:sz w:val="32"/>
          <w:szCs w:val="32"/>
        </w:rPr>
        <w:t>专职人民调解员的日常管理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专职人民调解员全部实行派驻制度，日常管理工作由其所驻单位负责，包括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工作效能、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上下班考勤、遵守纪律、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作风等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222222"/>
          <w:sz w:val="32"/>
          <w:szCs w:val="32"/>
        </w:rPr>
        <w:t>工作考核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考核内容包括人民调解工作实绩、群众满意度、参加人民调解培训和遵守人民调解工作纪律情况等，考核后分为优秀、称职、基本称职和不称职四种。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专职人民调解员成绩突出的，应当给予表彰奖励，对专职人民调解员的奖励，坚持精神鼓励与物质鼓励相结合的原则。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市司法局牵头，联合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所驻单位每半年进行一次考核，考核情况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和日常履职情况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作为专职调解员续聘、解聘和评先评优的主要依据。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四、本办法由龙南市司法局解释。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此页无正文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52705</wp:posOffset>
                </wp:positionV>
                <wp:extent cx="556196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6945" y="8471535"/>
                          <a:ext cx="5561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pt;margin-top:4.15pt;height:0pt;width:437.95pt;z-index:251662336;mso-width-relative:page;mso-height-relative:page;" filled="f" stroked="t" coordsize="21600,21600" o:gfxdata="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egba1AAAAAYBAAAPAAAAAAAAAAEAIAAAACIAAABkcnMvZG93bnJldi54bWxQSwECFAAUAAAA&#10;CACHTuJAN+rl7PIBAAC+AwAADgAAAAAAAAABACAAAAAj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抄送：各乡（镇）人民政府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33655</wp:posOffset>
                </wp:positionV>
                <wp:extent cx="551497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8370" y="8757285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25pt;margin-top:2.65pt;height:0pt;width:434.25pt;z-index:251661312;mso-width-relative:page;mso-height-relative:page;" filled="f" stroked="t" coordsize="21600,21600" o:gfxdata="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Kp3WNQAAAAGAQAADwAAAAAAAAABACAAAAAiAAAAZHJzL2Rvd25yZXYueG1sUEsBAhQAFAAA&#10;AAgAh07iQIEE96bzAQAAvgMAAA4AAAAAAAAAAQAgAAAAIw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抄报：市委政法委  赣州市司法局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33655</wp:posOffset>
                </wp:positionV>
                <wp:extent cx="5561965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6945" y="9062085"/>
                          <a:ext cx="55619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pt;margin-top:2.65pt;height:0.05pt;width:437.95pt;z-index:251660288;mso-width-relative:page;mso-height-relative:page;" filled="f" stroked="t" coordsize="21600,21600" o:gfxdata="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7wdEO1QAAAAYBAAAPAAAAAAAAAAEAIAAAACIAAABkcnMvZG93bnJldi54bWxQSwEC&#10;FAAUAAAACACHTuJAwqo9f/cBAADKAwAADgAAAAAAAAABACAAAAAkAQAAZHJzL2Uyb0RvYy54bWxQ&#10;SwUGAAAAAAYABgBZAQAAj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319405</wp:posOffset>
                </wp:positionV>
                <wp:extent cx="5562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5520" y="9347835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25.15pt;height:0pt;width:438pt;z-index:251659264;mso-width-relative:page;mso-height-relative:page;" filled="f" stroked="t" coordsize="21600,21600" o:gfxdata="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5QKS1gAAAAgBAAAPAAAAAAAAAAEAIAAAACIAAABkcnMvZG93bnJldi54bWxQSwECFAAUAAAA&#10;CACHTuJAS9supPABAAC+AwAADgAAAAAAAAABACAAAAAl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龙南市司法局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8"/>
          <w:szCs w:val="28"/>
          <w:lang w:val="en-US" w:eastAsia="zh-CN" w:bidi="ar-SA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8"/>
          <w:szCs w:val="28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日印发</w:t>
      </w:r>
    </w:p>
    <w:sectPr>
      <w:footerReference r:id="rId3" w:type="default"/>
      <w:pgSz w:w="11906" w:h="16838"/>
      <w:pgMar w:top="2098" w:right="1587" w:bottom="2098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066E"/>
    <w:rsid w:val="08CB7771"/>
    <w:rsid w:val="0CBA20BB"/>
    <w:rsid w:val="152E5667"/>
    <w:rsid w:val="15FD7650"/>
    <w:rsid w:val="19B3523E"/>
    <w:rsid w:val="1AA84E9C"/>
    <w:rsid w:val="207640FC"/>
    <w:rsid w:val="241C38A8"/>
    <w:rsid w:val="26FC06D3"/>
    <w:rsid w:val="2AFA64AE"/>
    <w:rsid w:val="2BC54829"/>
    <w:rsid w:val="306D066E"/>
    <w:rsid w:val="332157CE"/>
    <w:rsid w:val="33771B22"/>
    <w:rsid w:val="3EF944FB"/>
    <w:rsid w:val="42F43AE3"/>
    <w:rsid w:val="45285FAB"/>
    <w:rsid w:val="4B5041E1"/>
    <w:rsid w:val="4FBB508E"/>
    <w:rsid w:val="5673535F"/>
    <w:rsid w:val="637741CA"/>
    <w:rsid w:val="653A692D"/>
    <w:rsid w:val="69080114"/>
    <w:rsid w:val="6B983813"/>
    <w:rsid w:val="7504279B"/>
    <w:rsid w:val="7E2A412B"/>
    <w:rsid w:val="7E3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2021-02-04T00:57:00Z</dcterms:created>
  <dc:creator>娟嘛</dc:creator>
  <cp:lastModifiedBy>Administrator</cp:lastModifiedBy>
  <cp:lastPrinted>2021-02-08T08:14:00Z</cp:lastPrinted>
  <dcterms:modified xsi:type="dcterms:W3CDTF">2021-04-22T01:07:53Z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A3CF28DE18154B29A60134FAF12BDD01</vt:lpwstr>
  </property>
</Properties>
</file>