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ind w:firstLine="883"/>
        <w:jc w:val="center"/>
        <w:rPr>
          <w:rFonts w:eastAsia="黑体" w:cs="黑体"/>
          <w:b/>
          <w:bCs/>
          <w:sz w:val="44"/>
          <w:szCs w:val="44"/>
        </w:rPr>
      </w:pPr>
    </w:p>
    <w:p>
      <w:pPr>
        <w:keepNext w:val="0"/>
        <w:keepLines w:val="0"/>
        <w:pageBreakBefore w:val="0"/>
        <w:widowControl w:val="0"/>
        <w:shd w:val="clear"/>
        <w:kinsoku/>
        <w:wordWrap/>
        <w:overflowPunct w:val="0"/>
        <w:topLinePunct w:val="0"/>
        <w:autoSpaceDE/>
        <w:autoSpaceDN/>
        <w:bidi w:val="0"/>
        <w:adjustRightInd/>
        <w:snapToGrid/>
        <w:spacing w:before="240" w:beforeLines="100" w:after="240" w:afterLines="100" w:line="360" w:lineRule="auto"/>
        <w:ind w:left="0" w:leftChars="0" w:firstLine="0" w:firstLineChars="0"/>
        <w:jc w:val="center"/>
        <w:textAlignment w:val="auto"/>
        <w:rPr>
          <w:rFonts w:hint="eastAsia" w:ascii="微软雅黑" w:hAnsi="微软雅黑" w:eastAsia="微软雅黑" w:cs="微软雅黑"/>
          <w:b/>
          <w:color w:val="auto"/>
          <w:sz w:val="52"/>
          <w:szCs w:val="52"/>
          <w:highlight w:val="none"/>
          <w:lang w:val="en-US" w:eastAsia="zh-CN"/>
        </w:rPr>
      </w:pPr>
      <w:r>
        <w:rPr>
          <w:rFonts w:hint="eastAsia" w:ascii="微软雅黑" w:hAnsi="微软雅黑" w:eastAsia="微软雅黑" w:cs="微软雅黑"/>
          <w:b/>
          <w:color w:val="auto"/>
          <w:sz w:val="52"/>
          <w:szCs w:val="52"/>
          <w:highlight w:val="none"/>
          <w:lang w:val="en-US" w:eastAsia="zh-CN"/>
        </w:rPr>
        <w:t>龙南市“十四五”国土空间</w:t>
      </w:r>
    </w:p>
    <w:p>
      <w:pPr>
        <w:keepNext w:val="0"/>
        <w:keepLines w:val="0"/>
        <w:pageBreakBefore w:val="0"/>
        <w:widowControl w:val="0"/>
        <w:shd w:val="clear"/>
        <w:kinsoku/>
        <w:wordWrap/>
        <w:overflowPunct w:val="0"/>
        <w:topLinePunct w:val="0"/>
        <w:autoSpaceDE/>
        <w:autoSpaceDN/>
        <w:bidi w:val="0"/>
        <w:adjustRightInd/>
        <w:snapToGrid/>
        <w:spacing w:before="240" w:beforeLines="100" w:after="240" w:afterLines="100" w:line="360" w:lineRule="auto"/>
        <w:ind w:left="0" w:leftChars="0" w:firstLine="0" w:firstLineChars="0"/>
        <w:jc w:val="center"/>
        <w:textAlignment w:val="auto"/>
        <w:rPr>
          <w:rFonts w:hint="eastAsia" w:ascii="微软雅黑" w:hAnsi="微软雅黑" w:eastAsia="微软雅黑" w:cs="微软雅黑"/>
          <w:b/>
          <w:color w:val="auto"/>
          <w:sz w:val="52"/>
          <w:szCs w:val="52"/>
          <w:highlight w:val="none"/>
          <w:lang w:val="en-US" w:eastAsia="zh-CN"/>
        </w:rPr>
      </w:pPr>
      <w:r>
        <w:rPr>
          <w:rFonts w:hint="eastAsia" w:ascii="微软雅黑" w:hAnsi="微软雅黑" w:eastAsia="微软雅黑" w:cs="微软雅黑"/>
          <w:b/>
          <w:color w:val="auto"/>
          <w:sz w:val="52"/>
          <w:szCs w:val="52"/>
          <w:highlight w:val="none"/>
          <w:lang w:val="en-US" w:eastAsia="zh-CN"/>
        </w:rPr>
        <w:t>生态修复规划</w:t>
      </w:r>
    </w:p>
    <w:p>
      <w:pPr>
        <w:ind w:firstLine="602"/>
        <w:jc w:val="center"/>
        <w:rPr>
          <w:rFonts w:eastAsia="楷体_GB2312"/>
          <w:b/>
          <w:color w:val="auto"/>
          <w:sz w:val="30"/>
          <w:szCs w:val="30"/>
          <w:highlight w:val="none"/>
        </w:rPr>
      </w:pPr>
    </w:p>
    <w:p>
      <w:pPr>
        <w:pStyle w:val="2"/>
      </w:pPr>
    </w:p>
    <w:p>
      <w:pPr>
        <w:ind w:firstLine="602"/>
        <w:jc w:val="center"/>
        <w:rPr>
          <w:rFonts w:eastAsia="楷体_GB2312"/>
          <w:b/>
          <w:color w:val="auto"/>
          <w:sz w:val="30"/>
          <w:szCs w:val="30"/>
          <w:highlight w:val="none"/>
        </w:rPr>
      </w:pPr>
    </w:p>
    <w:p>
      <w:pPr>
        <w:ind w:firstLine="602"/>
        <w:jc w:val="center"/>
        <w:rPr>
          <w:rFonts w:eastAsia="楷体_GB2312"/>
          <w:b/>
          <w:color w:val="auto"/>
          <w:sz w:val="30"/>
          <w:szCs w:val="30"/>
          <w:highlight w:val="none"/>
        </w:rPr>
      </w:pPr>
    </w:p>
    <w:p>
      <w:pPr>
        <w:ind w:firstLine="602"/>
        <w:jc w:val="center"/>
        <w:rPr>
          <w:rFonts w:eastAsia="楷体_GB2312"/>
          <w:b/>
          <w:color w:val="auto"/>
          <w:sz w:val="30"/>
          <w:szCs w:val="30"/>
          <w:highlight w:val="none"/>
        </w:rPr>
      </w:pPr>
    </w:p>
    <w:p>
      <w:pPr>
        <w:ind w:firstLine="602"/>
        <w:jc w:val="center"/>
        <w:rPr>
          <w:rFonts w:eastAsia="楷体_GB2312"/>
          <w:b/>
          <w:color w:val="auto"/>
          <w:sz w:val="30"/>
          <w:szCs w:val="30"/>
          <w:highlight w:val="none"/>
        </w:rPr>
      </w:pPr>
    </w:p>
    <w:p>
      <w:pPr>
        <w:ind w:firstLine="602"/>
        <w:jc w:val="center"/>
        <w:rPr>
          <w:rFonts w:eastAsia="楷体_GB2312"/>
          <w:b/>
          <w:color w:val="auto"/>
          <w:sz w:val="30"/>
          <w:szCs w:val="30"/>
          <w:highlight w:val="none"/>
        </w:rPr>
      </w:pPr>
    </w:p>
    <w:p>
      <w:pPr>
        <w:ind w:firstLine="640"/>
        <w:jc w:val="center"/>
        <w:rPr>
          <w:color w:val="auto"/>
          <w:highlight w:val="none"/>
        </w:rPr>
      </w:pPr>
    </w:p>
    <w:p>
      <w:pPr>
        <w:ind w:firstLine="640"/>
        <w:jc w:val="center"/>
        <w:rPr>
          <w:color w:val="auto"/>
          <w:highlight w:val="none"/>
        </w:rPr>
      </w:pPr>
    </w:p>
    <w:p>
      <w:pPr>
        <w:ind w:firstLine="640"/>
        <w:jc w:val="center"/>
        <w:rPr>
          <w:color w:val="auto"/>
          <w:highlight w:val="none"/>
        </w:rPr>
      </w:pPr>
    </w:p>
    <w:p>
      <w:pPr>
        <w:ind w:firstLine="640"/>
        <w:jc w:val="center"/>
        <w:rPr>
          <w:color w:val="auto"/>
          <w:highlight w:val="none"/>
        </w:rPr>
      </w:pPr>
    </w:p>
    <w:p>
      <w:pPr>
        <w:pStyle w:val="3"/>
        <w:keepNext w:val="0"/>
        <w:keepLines w:val="0"/>
        <w:pageBreakBefore w:val="0"/>
        <w:widowControl w:val="0"/>
        <w:shd w:val="clear"/>
        <w:kinsoku/>
        <w:wordWrap/>
        <w:overflowPunct/>
        <w:topLinePunct w:val="0"/>
        <w:autoSpaceDE/>
        <w:autoSpaceDN/>
        <w:bidi w:val="0"/>
        <w:adjustRightInd/>
        <w:snapToGrid/>
        <w:ind w:left="113" w:firstLine="0" w:firstLineChars="0"/>
        <w:jc w:val="center"/>
        <w:textAlignment w:val="auto"/>
        <w:rPr>
          <w:rFonts w:hint="eastAsia" w:ascii="Times New Roman" w:hAnsi="Times New Roman" w:eastAsia="仿宋" w:cs="Times New Roman"/>
          <w:b/>
          <w:bCs/>
          <w:color w:val="auto"/>
          <w:spacing w:val="0"/>
          <w:sz w:val="32"/>
          <w:highlight w:val="none"/>
          <w:lang w:val="en-US" w:eastAsia="zh-CN"/>
        </w:rPr>
      </w:pPr>
      <w:r>
        <w:rPr>
          <w:rFonts w:hint="eastAsia" w:cs="Times New Roman"/>
          <w:b/>
          <w:bCs/>
          <w:color w:val="auto"/>
          <w:spacing w:val="68"/>
          <w:sz w:val="32"/>
          <w:highlight w:val="none"/>
          <w:lang w:val="en-US" w:eastAsia="zh-CN"/>
        </w:rPr>
        <w:t>龙南市</w:t>
      </w:r>
      <w:r>
        <w:rPr>
          <w:rFonts w:hint="eastAsia" w:ascii="Times New Roman" w:hAnsi="Times New Roman" w:eastAsia="仿宋" w:cs="Times New Roman"/>
          <w:b/>
          <w:bCs/>
          <w:color w:val="auto"/>
          <w:spacing w:val="68"/>
          <w:sz w:val="32"/>
          <w:highlight w:val="none"/>
          <w:lang w:val="en-US" w:eastAsia="zh-CN"/>
        </w:rPr>
        <w:t>自然资源局</w:t>
      </w:r>
    </w:p>
    <w:p>
      <w:pPr>
        <w:pStyle w:val="3"/>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color w:val="auto"/>
          <w:spacing w:val="0"/>
          <w:highlight w:val="none"/>
          <w:lang w:val="en-US" w:eastAsia="zh-CN"/>
        </w:rPr>
      </w:pPr>
      <w:r>
        <w:rPr>
          <w:rFonts w:hint="eastAsia" w:cs="Times New Roman"/>
          <w:b/>
          <w:bCs/>
          <w:color w:val="auto"/>
          <w:spacing w:val="0"/>
          <w:sz w:val="32"/>
          <w:highlight w:val="none"/>
          <w:lang w:val="en-US" w:eastAsia="zh-CN"/>
        </w:rPr>
        <w:t>龙南市</w:t>
      </w:r>
      <w:r>
        <w:rPr>
          <w:rFonts w:hint="eastAsia" w:ascii="Times New Roman" w:hAnsi="Times New Roman" w:eastAsia="仿宋" w:cs="Times New Roman"/>
          <w:b/>
          <w:bCs/>
          <w:color w:val="auto"/>
          <w:spacing w:val="0"/>
          <w:sz w:val="32"/>
          <w:highlight w:val="none"/>
          <w:lang w:val="en-US" w:eastAsia="zh-CN"/>
        </w:rPr>
        <w:t>发展和改革委员会</w:t>
      </w:r>
    </w:p>
    <w:p>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二〇</w:t>
      </w:r>
      <w:r>
        <w:rPr>
          <w:rFonts w:hint="eastAsia" w:ascii="仿宋" w:hAnsi="仿宋" w:eastAsia="仿宋" w:cs="仿宋"/>
          <w:b/>
          <w:bCs/>
          <w:color w:val="auto"/>
          <w:sz w:val="32"/>
          <w:szCs w:val="32"/>
          <w:highlight w:val="none"/>
          <w:lang w:val="en-US" w:eastAsia="zh-CN"/>
        </w:rPr>
        <w:t>二二</w:t>
      </w:r>
      <w:r>
        <w:rPr>
          <w:rFonts w:hint="eastAsia" w:ascii="仿宋" w:hAnsi="仿宋" w:eastAsia="仿宋" w:cs="仿宋"/>
          <w:b/>
          <w:bCs/>
          <w:color w:val="auto"/>
          <w:sz w:val="32"/>
          <w:szCs w:val="32"/>
          <w:highlight w:val="none"/>
        </w:rPr>
        <w:t>年</w:t>
      </w:r>
      <w:r>
        <w:rPr>
          <w:rFonts w:hint="eastAsia" w:ascii="仿宋" w:hAnsi="仿宋" w:cs="仿宋"/>
          <w:b/>
          <w:bCs/>
          <w:color w:val="auto"/>
          <w:sz w:val="32"/>
          <w:szCs w:val="32"/>
          <w:highlight w:val="none"/>
          <w:lang w:val="en-US" w:eastAsia="zh-CN"/>
        </w:rPr>
        <w:t>十一</w:t>
      </w:r>
      <w:bookmarkStart w:id="127" w:name="_GoBack"/>
      <w:bookmarkEnd w:id="127"/>
      <w:r>
        <w:rPr>
          <w:rFonts w:hint="eastAsia" w:ascii="仿宋" w:hAnsi="仿宋" w:eastAsia="仿宋" w:cs="仿宋"/>
          <w:b/>
          <w:bCs/>
          <w:color w:val="auto"/>
          <w:sz w:val="32"/>
          <w:szCs w:val="32"/>
          <w:highlight w:val="none"/>
        </w:rPr>
        <w:t>月</w:t>
      </w:r>
    </w:p>
    <w:p>
      <w:pPr>
        <w:keepNext w:val="0"/>
        <w:keepLines w:val="0"/>
        <w:pageBreakBefore w:val="0"/>
        <w:widowControl w:val="0"/>
        <w:kinsoku/>
        <w:wordWrap/>
        <w:overflowPunct w:val="0"/>
        <w:topLinePunct w:val="0"/>
        <w:autoSpaceDE/>
        <w:autoSpaceDN/>
        <w:bidi w:val="0"/>
        <w:adjustRightInd w:val="0"/>
        <w:snapToGrid w:val="0"/>
        <w:spacing w:line="240" w:lineRule="exact"/>
        <w:ind w:firstLine="0" w:firstLineChars="0"/>
        <w:jc w:val="left"/>
        <w:textAlignment w:val="auto"/>
        <w:rPr>
          <w:rFonts w:hint="eastAsia" w:ascii="宋体" w:hAnsi="宋体" w:eastAsia="宋体" w:cs="宋体"/>
          <w:color w:val="auto"/>
          <w:szCs w:val="32"/>
          <w:highlight w:val="none"/>
        </w:rPr>
      </w:pPr>
    </w:p>
    <w:p>
      <w:pPr>
        <w:keepNext w:val="0"/>
        <w:keepLines w:val="0"/>
        <w:pageBreakBefore w:val="0"/>
        <w:widowControl w:val="0"/>
        <w:kinsoku/>
        <w:wordWrap/>
        <w:overflowPunct w:val="0"/>
        <w:topLinePunct w:val="0"/>
        <w:autoSpaceDE/>
        <w:autoSpaceDN/>
        <w:bidi w:val="0"/>
        <w:adjustRightInd w:val="0"/>
        <w:snapToGrid w:val="0"/>
        <w:spacing w:line="240" w:lineRule="exact"/>
        <w:ind w:firstLine="0" w:firstLineChars="0"/>
        <w:jc w:val="left"/>
        <w:textAlignment w:val="auto"/>
        <w:rPr>
          <w:rFonts w:hint="eastAsia" w:ascii="宋体" w:hAnsi="宋体" w:eastAsia="宋体" w:cs="宋体"/>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start="1"/>
          <w:cols w:space="425" w:num="1"/>
          <w:docGrid w:type="lines" w:linePitch="312" w:charSpace="0"/>
        </w:sectPr>
      </w:pPr>
    </w:p>
    <w:p>
      <w:pPr>
        <w:keepNext w:val="0"/>
        <w:keepLines w:val="0"/>
        <w:pageBreakBefore w:val="0"/>
        <w:widowControl w:val="0"/>
        <w:kinsoku/>
        <w:wordWrap/>
        <w:overflowPunct w:val="0"/>
        <w:topLinePunct w:val="0"/>
        <w:autoSpaceDE/>
        <w:autoSpaceDN/>
        <w:bidi w:val="0"/>
        <w:adjustRightInd/>
        <w:snapToGrid/>
        <w:spacing w:after="313" w:afterLines="100" w:line="240" w:lineRule="auto"/>
        <w:ind w:firstLine="0" w:firstLineChars="0"/>
        <w:jc w:val="center"/>
        <w:textAlignment w:val="auto"/>
        <w:rPr>
          <w:rFonts w:hint="eastAsia" w:asciiTheme="minorEastAsia" w:hAnsiTheme="minorEastAsia" w:eastAsiaTheme="minorEastAsia" w:cstheme="minorEastAsia"/>
          <w:b/>
          <w:bCs/>
          <w:color w:val="auto"/>
          <w:sz w:val="36"/>
          <w:szCs w:val="36"/>
          <w:highlight w:val="none"/>
          <w:lang w:val="en-US" w:eastAsia="zh-CN"/>
        </w:rPr>
      </w:pPr>
      <w:r>
        <w:rPr>
          <w:rFonts w:hint="eastAsia" w:asciiTheme="minorEastAsia" w:hAnsiTheme="minorEastAsia" w:eastAsiaTheme="minorEastAsia" w:cstheme="minorEastAsia"/>
          <w:b/>
          <w:bCs/>
          <w:color w:val="auto"/>
          <w:sz w:val="36"/>
          <w:szCs w:val="36"/>
          <w:highlight w:val="none"/>
          <w:lang w:val="en-US" w:eastAsia="zh-CN"/>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-866775</wp:posOffset>
            </wp:positionV>
            <wp:extent cx="7560310" cy="10612120"/>
            <wp:effectExtent l="0" t="0" r="2540" b="17780"/>
            <wp:wrapNone/>
            <wp:docPr id="2" name="图片 2" descr="龙南市十四五国土空间生态修复规划专家论证签名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龙南市十四五国土空间生态修复规划专家论证签名意见_页面_1"/>
                    <pic:cNvPicPr>
                      <a:picLocks noChangeAspect="1"/>
                    </pic:cNvPicPr>
                  </pic:nvPicPr>
                  <pic:blipFill>
                    <a:blip r:embed="rId14"/>
                    <a:srcRect b="801"/>
                    <a:stretch>
                      <a:fillRect/>
                    </a:stretch>
                  </pic:blipFill>
                  <pic:spPr>
                    <a:xfrm>
                      <a:off x="0" y="0"/>
                      <a:ext cx="7560310" cy="10612120"/>
                    </a:xfrm>
                    <a:prstGeom prst="rect">
                      <a:avLst/>
                    </a:prstGeom>
                  </pic:spPr>
                </pic:pic>
              </a:graphicData>
            </a:graphic>
          </wp:anchor>
        </w:drawing>
      </w:r>
    </w:p>
    <w:p>
      <w:pPr>
        <w:pStyle w:val="2"/>
        <w:rPr>
          <w:rFonts w:hint="eastAsia" w:asciiTheme="minorEastAsia" w:hAnsiTheme="minorEastAsia" w:eastAsiaTheme="minorEastAsia" w:cstheme="minorEastAsia"/>
          <w:b/>
          <w:bCs/>
          <w:color w:val="auto"/>
          <w:sz w:val="36"/>
          <w:szCs w:val="36"/>
          <w:highlight w:val="none"/>
          <w:lang w:val="en-US" w:eastAsia="zh-CN"/>
        </w:rPr>
      </w:pPr>
    </w:p>
    <w:p>
      <w:pPr>
        <w:pStyle w:val="2"/>
        <w:rPr>
          <w:rFonts w:hint="eastAsia" w:asciiTheme="minorEastAsia" w:hAnsiTheme="minorEastAsia" w:eastAsiaTheme="minorEastAsia" w:cstheme="minorEastAsia"/>
          <w:b/>
          <w:bCs/>
          <w:color w:val="auto"/>
          <w:sz w:val="36"/>
          <w:szCs w:val="36"/>
          <w:highlight w:val="none"/>
          <w:lang w:val="en-US" w:eastAsia="zh-CN"/>
        </w:rPr>
      </w:pPr>
    </w:p>
    <w:p>
      <w:pPr>
        <w:pStyle w:val="2"/>
        <w:rPr>
          <w:rFonts w:hint="eastAsia" w:asciiTheme="minorEastAsia" w:hAnsiTheme="minorEastAsia" w:eastAsiaTheme="minorEastAsia" w:cstheme="minorEastAsia"/>
          <w:b/>
          <w:bCs/>
          <w:color w:val="auto"/>
          <w:sz w:val="36"/>
          <w:szCs w:val="36"/>
          <w:highlight w:val="none"/>
          <w:lang w:val="en-US" w:eastAsia="zh-CN"/>
        </w:rPr>
        <w:sectPr>
          <w:pgSz w:w="11906" w:h="16838"/>
          <w:pgMar w:top="1417" w:right="1701" w:bottom="1417" w:left="1701" w:header="851" w:footer="992" w:gutter="0"/>
          <w:pgNumType w:start="1"/>
          <w:cols w:space="0" w:num="1"/>
          <w:rtlGutter w:val="0"/>
          <w:docGrid w:type="lines" w:linePitch="312" w:charSpace="0"/>
        </w:sectPr>
      </w:pPr>
    </w:p>
    <w:p>
      <w:pPr>
        <w:pStyle w:val="2"/>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Theme="minorEastAsia" w:hAnsiTheme="minorEastAsia" w:eastAsiaTheme="minorEastAsia" w:cstheme="minorEastAsia"/>
          <w:b/>
          <w:bCs/>
          <w:color w:val="auto"/>
          <w:sz w:val="36"/>
          <w:szCs w:val="36"/>
          <w:highlight w:val="none"/>
          <w:lang w:val="en-US" w:eastAsia="zh-CN"/>
        </w:rPr>
      </w:pPr>
      <w:r>
        <w:rPr>
          <w:rFonts w:hint="eastAsia" w:asciiTheme="minorEastAsia" w:hAnsiTheme="minorEastAsia" w:eastAsiaTheme="minorEastAsia" w:cstheme="minorEastAsia"/>
          <w:b/>
          <w:bCs/>
          <w:color w:val="auto"/>
          <w:sz w:val="36"/>
          <w:szCs w:val="36"/>
          <w:highlight w:val="none"/>
          <w:lang w:val="en-US" w:eastAsia="zh-CN"/>
        </w:rPr>
        <w:drawing>
          <wp:anchor distT="0" distB="0" distL="114300" distR="114300" simplePos="0" relativeHeight="251660288" behindDoc="0" locked="0" layoutInCell="1" allowOverlap="1">
            <wp:simplePos x="0" y="0"/>
            <wp:positionH relativeFrom="column">
              <wp:posOffset>-1085850</wp:posOffset>
            </wp:positionH>
            <wp:positionV relativeFrom="paragraph">
              <wp:posOffset>-899160</wp:posOffset>
            </wp:positionV>
            <wp:extent cx="7560310" cy="10682605"/>
            <wp:effectExtent l="0" t="0" r="2540" b="4445"/>
            <wp:wrapNone/>
            <wp:docPr id="4" name="图片 4" descr="龙南市十四五国土空间生态修复规划专家论证签名意见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龙南市十四五国土空间生态修复规划专家论证签名意见_页面_2"/>
                    <pic:cNvPicPr>
                      <a:picLocks noChangeAspect="1"/>
                    </pic:cNvPicPr>
                  </pic:nvPicPr>
                  <pic:blipFill>
                    <a:blip r:embed="rId15"/>
                    <a:stretch>
                      <a:fillRect/>
                    </a:stretch>
                  </pic:blipFill>
                  <pic:spPr>
                    <a:xfrm>
                      <a:off x="0" y="0"/>
                      <a:ext cx="7560310" cy="10682605"/>
                    </a:xfrm>
                    <a:prstGeom prst="rect">
                      <a:avLst/>
                    </a:prstGeom>
                  </pic:spPr>
                </pic:pic>
              </a:graphicData>
            </a:graphic>
          </wp:anchor>
        </w:drawing>
      </w:r>
    </w:p>
    <w:p>
      <w:pPr>
        <w:pStyle w:val="2"/>
        <w:rPr>
          <w:rFonts w:hint="eastAsia" w:asciiTheme="minorEastAsia" w:hAnsiTheme="minorEastAsia" w:eastAsiaTheme="minorEastAsia" w:cstheme="minorEastAsia"/>
          <w:b/>
          <w:bCs/>
          <w:color w:val="auto"/>
          <w:sz w:val="36"/>
          <w:szCs w:val="36"/>
          <w:highlight w:val="none"/>
          <w:lang w:val="en-US" w:eastAsia="zh-CN"/>
        </w:rPr>
      </w:pPr>
    </w:p>
    <w:p>
      <w:pPr>
        <w:pStyle w:val="2"/>
        <w:rPr>
          <w:rFonts w:hint="eastAsia" w:asciiTheme="minorEastAsia" w:hAnsiTheme="minorEastAsia" w:eastAsiaTheme="minorEastAsia" w:cstheme="minorEastAsia"/>
          <w:b/>
          <w:bCs/>
          <w:color w:val="auto"/>
          <w:sz w:val="36"/>
          <w:szCs w:val="36"/>
          <w:highlight w:val="none"/>
          <w:lang w:val="en-US" w:eastAsia="zh-CN"/>
        </w:rPr>
      </w:pPr>
    </w:p>
    <w:p>
      <w:pPr>
        <w:pStyle w:val="2"/>
        <w:rPr>
          <w:rFonts w:hint="eastAsia"/>
          <w:lang w:val="en-US" w:eastAsia="zh-CN"/>
        </w:rPr>
        <w:sectPr>
          <w:pgSz w:w="11906" w:h="16838"/>
          <w:pgMar w:top="1417" w:right="1701" w:bottom="1417" w:left="1701" w:header="851" w:footer="992" w:gutter="0"/>
          <w:pgNumType w:start="1"/>
          <w:cols w:space="0" w:num="1"/>
          <w:rtlGutter w:val="0"/>
          <w:docGrid w:type="lines" w:linePitch="312" w:charSpace="0"/>
        </w:sectPr>
      </w:pPr>
    </w:p>
    <w:p>
      <w:pPr>
        <w:keepNext w:val="0"/>
        <w:keepLines w:val="0"/>
        <w:pageBreakBefore w:val="0"/>
        <w:widowControl w:val="0"/>
        <w:kinsoku/>
        <w:wordWrap/>
        <w:overflowPunct w:val="0"/>
        <w:topLinePunct w:val="0"/>
        <w:autoSpaceDE/>
        <w:autoSpaceDN/>
        <w:bidi w:val="0"/>
        <w:adjustRightInd/>
        <w:snapToGrid/>
        <w:spacing w:after="313" w:afterLines="100" w:line="240" w:lineRule="auto"/>
        <w:ind w:firstLine="0" w:firstLineChars="0"/>
        <w:jc w:val="center"/>
        <w:textAlignment w:val="auto"/>
        <w:rPr>
          <w:rFonts w:hint="eastAsia" w:asciiTheme="minorEastAsia" w:hAnsiTheme="minorEastAsia" w:eastAsiaTheme="minorEastAsia" w:cstheme="minorEastAsia"/>
          <w:b/>
          <w:bCs/>
          <w:color w:val="auto"/>
          <w:sz w:val="36"/>
          <w:szCs w:val="36"/>
          <w:highlight w:val="none"/>
          <w:lang w:val="en-US" w:eastAsia="zh-CN"/>
        </w:rPr>
      </w:pPr>
      <w:r>
        <w:rPr>
          <w:rFonts w:hint="eastAsia" w:asciiTheme="minorEastAsia" w:hAnsiTheme="minorEastAsia" w:eastAsiaTheme="minorEastAsia" w:cstheme="minorEastAsia"/>
          <w:b/>
          <w:bCs/>
          <w:color w:val="auto"/>
          <w:sz w:val="36"/>
          <w:szCs w:val="36"/>
          <w:highlight w:val="none"/>
          <w:lang w:val="en-US" w:eastAsia="zh-CN"/>
        </w:rPr>
        <w:t>目 录</w:t>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TOC \o "1-2" \h \u </w:instrText>
      </w:r>
      <w:r>
        <w:rPr>
          <w:rFonts w:hint="eastAsia" w:ascii="仿宋" w:hAnsi="仿宋" w:eastAsia="仿宋" w:cs="仿宋"/>
          <w:color w:val="auto"/>
          <w:sz w:val="28"/>
          <w:szCs w:val="28"/>
          <w:highlight w:val="none"/>
        </w:rPr>
        <w:fldChar w:fldCharType="separate"/>
      </w: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_Toc14363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前言</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_Toc14363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1</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_Toc8825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第一章 面临形势</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_Toc8825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3</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_Toc8400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第一节 形势与要求</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_Toc8400 </w:instrText>
      </w:r>
      <w:r>
        <w:rPr>
          <w:rFonts w:ascii="Calibri" w:hAnsi="Calibri"/>
          <w:color w:val="auto"/>
          <w:sz w:val="28"/>
          <w:szCs w:val="28"/>
          <w:highlight w:val="none"/>
        </w:rPr>
        <w:fldChar w:fldCharType="separate"/>
      </w:r>
      <w:r>
        <w:rPr>
          <w:rFonts w:ascii="Calibri" w:hAnsi="Calibri"/>
          <w:color w:val="auto"/>
          <w:sz w:val="28"/>
          <w:szCs w:val="28"/>
          <w:highlight w:val="none"/>
        </w:rPr>
        <w:t>3</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_Toc29034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第二节 生态修复工作成效</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_Toc29034 </w:instrText>
      </w:r>
      <w:r>
        <w:rPr>
          <w:rFonts w:ascii="Calibri" w:hAnsi="Calibri"/>
          <w:color w:val="auto"/>
          <w:sz w:val="28"/>
          <w:szCs w:val="28"/>
          <w:highlight w:val="none"/>
        </w:rPr>
        <w:fldChar w:fldCharType="separate"/>
      </w:r>
      <w:r>
        <w:rPr>
          <w:rFonts w:ascii="Calibri" w:hAnsi="Calibri"/>
          <w:color w:val="auto"/>
          <w:sz w:val="28"/>
          <w:szCs w:val="28"/>
          <w:highlight w:val="none"/>
        </w:rPr>
        <w:t>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_Toc20717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第三节 机遇与挑战</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_Toc20717 </w:instrText>
      </w:r>
      <w:r>
        <w:rPr>
          <w:rFonts w:ascii="Calibri" w:hAnsi="Calibri"/>
          <w:color w:val="auto"/>
          <w:sz w:val="28"/>
          <w:szCs w:val="28"/>
          <w:highlight w:val="none"/>
        </w:rPr>
        <w:fldChar w:fldCharType="separate"/>
      </w:r>
      <w:r>
        <w:rPr>
          <w:rFonts w:ascii="Calibri" w:hAnsi="Calibri"/>
          <w:color w:val="auto"/>
          <w:sz w:val="28"/>
          <w:szCs w:val="28"/>
          <w:highlight w:val="none"/>
        </w:rPr>
        <w:t>9</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_Toc25055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第二章 生态现状与主要问题</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_Toc25055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13</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_Toc30282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第一节 自然地理和生态现状</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_Toc30282 </w:instrText>
      </w:r>
      <w:r>
        <w:rPr>
          <w:rFonts w:ascii="Calibri" w:hAnsi="Calibri"/>
          <w:color w:val="auto"/>
          <w:sz w:val="28"/>
          <w:szCs w:val="28"/>
          <w:highlight w:val="none"/>
        </w:rPr>
        <w:fldChar w:fldCharType="separate"/>
      </w:r>
      <w:r>
        <w:rPr>
          <w:rFonts w:ascii="Calibri" w:hAnsi="Calibri"/>
          <w:color w:val="auto"/>
          <w:sz w:val="28"/>
          <w:szCs w:val="28"/>
          <w:highlight w:val="none"/>
        </w:rPr>
        <w:t>13</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_Toc8752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第二节 存在的主要问题和风险</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_Toc8752 </w:instrText>
      </w:r>
      <w:r>
        <w:rPr>
          <w:rFonts w:ascii="Calibri" w:hAnsi="Calibri"/>
          <w:color w:val="auto"/>
          <w:sz w:val="28"/>
          <w:szCs w:val="28"/>
          <w:highlight w:val="none"/>
        </w:rPr>
        <w:fldChar w:fldCharType="separate"/>
      </w:r>
      <w:r>
        <w:rPr>
          <w:rFonts w:ascii="Calibri" w:hAnsi="Calibri"/>
          <w:color w:val="auto"/>
          <w:sz w:val="28"/>
          <w:szCs w:val="28"/>
          <w:highlight w:val="none"/>
        </w:rPr>
        <w:t>17</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_Toc26170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第三章 总体要求与规划目标</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_Toc26170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24</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_Toc31067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第一节 指导思想</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_Toc31067 </w:instrText>
      </w:r>
      <w:r>
        <w:rPr>
          <w:rFonts w:ascii="Calibri" w:hAnsi="Calibri"/>
          <w:color w:val="auto"/>
          <w:sz w:val="28"/>
          <w:szCs w:val="28"/>
          <w:highlight w:val="none"/>
        </w:rPr>
        <w:fldChar w:fldCharType="separate"/>
      </w:r>
      <w:r>
        <w:rPr>
          <w:rFonts w:ascii="Calibri" w:hAnsi="Calibri"/>
          <w:color w:val="auto"/>
          <w:sz w:val="28"/>
          <w:szCs w:val="28"/>
          <w:highlight w:val="none"/>
        </w:rPr>
        <w:t>24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_Toc16105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第二节 基本原则</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_Toc16105 </w:instrText>
      </w:r>
      <w:r>
        <w:rPr>
          <w:rFonts w:ascii="Calibri" w:hAnsi="Calibri"/>
          <w:color w:val="auto"/>
          <w:sz w:val="28"/>
          <w:szCs w:val="28"/>
          <w:highlight w:val="none"/>
        </w:rPr>
        <w:fldChar w:fldCharType="separate"/>
      </w:r>
      <w:r>
        <w:rPr>
          <w:rFonts w:ascii="Calibri" w:hAnsi="Calibri"/>
          <w:color w:val="auto"/>
          <w:sz w:val="28"/>
          <w:szCs w:val="28"/>
          <w:highlight w:val="none"/>
        </w:rPr>
        <w:t>24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_Toc23386 </w:instrText>
      </w:r>
      <w:r>
        <w:rPr>
          <w:rFonts w:hint="eastAsia" w:ascii="Calibri" w:hAnsi="Calibri" w:eastAsia="仿宋" w:cs="仿宋"/>
          <w:color w:val="auto"/>
          <w:sz w:val="28"/>
          <w:szCs w:val="28"/>
          <w:highlight w:val="none"/>
        </w:rPr>
        <w:fldChar w:fldCharType="separate"/>
      </w:r>
      <w:r>
        <w:rPr>
          <w:rFonts w:ascii="Calibri" w:hAnsi="Calibri"/>
          <w:color w:val="auto"/>
          <w:sz w:val="28"/>
          <w:szCs w:val="28"/>
          <w:highlight w:val="none"/>
        </w:rPr>
        <w:t>第三节</w:t>
      </w:r>
      <w:r>
        <w:rPr>
          <w:rFonts w:hint="eastAsia" w:ascii="Calibri" w:hAnsi="Calibri"/>
          <w:color w:val="auto"/>
          <w:sz w:val="28"/>
          <w:szCs w:val="28"/>
          <w:highlight w:val="none"/>
        </w:rPr>
        <w:t xml:space="preserve"> 规划目标</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_Toc23386 </w:instrText>
      </w:r>
      <w:r>
        <w:rPr>
          <w:rFonts w:ascii="Calibri" w:hAnsi="Calibri"/>
          <w:color w:val="auto"/>
          <w:sz w:val="28"/>
          <w:szCs w:val="28"/>
          <w:highlight w:val="none"/>
        </w:rPr>
        <w:fldChar w:fldCharType="separate"/>
      </w:r>
      <w:r>
        <w:rPr>
          <w:rFonts w:ascii="Calibri" w:hAnsi="Calibri"/>
          <w:color w:val="auto"/>
          <w:sz w:val="28"/>
          <w:szCs w:val="28"/>
          <w:highlight w:val="none"/>
        </w:rPr>
        <w:t>26</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_Toc16616 </w:instrText>
      </w:r>
      <w:r>
        <w:rPr>
          <w:rFonts w:hint="eastAsia" w:ascii="Calibri" w:hAnsi="Calibri" w:eastAsia="仿宋" w:cs="仿宋"/>
          <w:b/>
          <w:bCs/>
          <w:color w:val="auto"/>
          <w:sz w:val="28"/>
          <w:szCs w:val="28"/>
          <w:highlight w:val="none"/>
        </w:rPr>
        <w:fldChar w:fldCharType="separate"/>
      </w:r>
      <w:r>
        <w:rPr>
          <w:rFonts w:hint="eastAsia" w:ascii="Calibri" w:hAnsi="Calibri" w:eastAsia="仿宋" w:cstheme="minorBidi"/>
          <w:b/>
          <w:bCs/>
          <w:color w:val="auto"/>
          <w:kern w:val="44"/>
          <w:sz w:val="28"/>
          <w:szCs w:val="28"/>
          <w:highlight w:val="none"/>
          <w:lang w:val="en-US" w:eastAsia="zh-CN" w:bidi="ar-SA"/>
        </w:rPr>
        <w:t>第四章 国土空间生态修复格局</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_Toc16616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30</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_Toc6416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第一节 总体格局</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_Toc6416 </w:instrText>
      </w:r>
      <w:r>
        <w:rPr>
          <w:rFonts w:ascii="Calibri" w:hAnsi="Calibri"/>
          <w:color w:val="auto"/>
          <w:sz w:val="28"/>
          <w:szCs w:val="28"/>
          <w:highlight w:val="none"/>
        </w:rPr>
        <w:fldChar w:fldCharType="separate"/>
      </w:r>
      <w:r>
        <w:rPr>
          <w:rFonts w:ascii="Calibri" w:hAnsi="Calibri"/>
          <w:color w:val="auto"/>
          <w:sz w:val="28"/>
          <w:szCs w:val="28"/>
          <w:highlight w:val="none"/>
        </w:rPr>
        <w:t>30</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_Toc2517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第二节 修复分区</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_Toc2517 </w:instrText>
      </w:r>
      <w:r>
        <w:rPr>
          <w:rFonts w:ascii="Calibri" w:hAnsi="Calibri"/>
          <w:color w:val="auto"/>
          <w:sz w:val="28"/>
          <w:szCs w:val="28"/>
          <w:highlight w:val="none"/>
        </w:rPr>
        <w:fldChar w:fldCharType="separate"/>
      </w:r>
      <w:r>
        <w:rPr>
          <w:rFonts w:ascii="Calibri" w:hAnsi="Calibri"/>
          <w:color w:val="auto"/>
          <w:sz w:val="28"/>
          <w:szCs w:val="28"/>
          <w:highlight w:val="none"/>
        </w:rPr>
        <w:t>31</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_Toc20672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第五章 国土空间生态修复重点任务</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_Toc20672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38</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_Toc24958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w:t>
      </w:r>
      <w:r>
        <w:rPr>
          <w:rFonts w:hint="eastAsia" w:ascii="Calibri" w:hAnsi="Calibri"/>
          <w:b/>
          <w:bCs/>
          <w:color w:val="auto"/>
          <w:sz w:val="28"/>
          <w:szCs w:val="28"/>
          <w:highlight w:val="none"/>
          <w:lang w:val="en-US" w:eastAsia="zh-CN"/>
        </w:rPr>
        <w:t>六</w:t>
      </w:r>
      <w:r>
        <w:rPr>
          <w:rFonts w:hint="eastAsia" w:ascii="Calibri" w:hAnsi="Calibri"/>
          <w:b/>
          <w:bCs/>
          <w:color w:val="auto"/>
          <w:sz w:val="28"/>
          <w:szCs w:val="28"/>
          <w:highlight w:val="none"/>
        </w:rPr>
        <w:t>章 国土空间生态修复重大工程</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_Toc24958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43</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_Toc11058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w:t>
      </w:r>
      <w:r>
        <w:rPr>
          <w:rFonts w:hint="eastAsia" w:ascii="Calibri" w:hAnsi="Calibri"/>
          <w:b/>
          <w:bCs/>
          <w:color w:val="auto"/>
          <w:sz w:val="28"/>
          <w:szCs w:val="28"/>
          <w:highlight w:val="none"/>
          <w:lang w:val="en-US" w:eastAsia="zh-CN"/>
        </w:rPr>
        <w:t>七</w:t>
      </w:r>
      <w:r>
        <w:rPr>
          <w:rFonts w:hint="eastAsia" w:ascii="Calibri" w:hAnsi="Calibri"/>
          <w:b/>
          <w:bCs/>
          <w:color w:val="auto"/>
          <w:sz w:val="28"/>
          <w:szCs w:val="28"/>
          <w:highlight w:val="none"/>
        </w:rPr>
        <w:t xml:space="preserve">章 </w:t>
      </w:r>
      <w:r>
        <w:rPr>
          <w:rFonts w:hint="eastAsia" w:ascii="Calibri" w:hAnsi="Calibri"/>
          <w:b/>
          <w:bCs/>
          <w:color w:val="auto"/>
          <w:sz w:val="28"/>
          <w:szCs w:val="28"/>
          <w:highlight w:val="none"/>
          <w:lang w:val="en-US" w:eastAsia="zh-CN"/>
        </w:rPr>
        <w:t>成本效益</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_Toc11058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48</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_Toc5371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val="en-US" w:eastAsia="zh-CN"/>
        </w:rPr>
        <w:t>第一节 资金需求及估算依据</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_Toc5371 </w:instrText>
      </w:r>
      <w:r>
        <w:rPr>
          <w:rFonts w:ascii="Calibri" w:hAnsi="Calibri"/>
          <w:color w:val="auto"/>
          <w:sz w:val="28"/>
          <w:szCs w:val="28"/>
          <w:highlight w:val="none"/>
        </w:rPr>
        <w:fldChar w:fldCharType="separate"/>
      </w:r>
      <w:r>
        <w:rPr>
          <w:rFonts w:ascii="Calibri" w:hAnsi="Calibri"/>
          <w:color w:val="auto"/>
          <w:sz w:val="28"/>
          <w:szCs w:val="28"/>
          <w:highlight w:val="none"/>
        </w:rPr>
        <w:t>48</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_Toc4839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val="en-US" w:eastAsia="zh-CN"/>
        </w:rPr>
        <w:t>第二节 修复实施效益</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_Toc4839 </w:instrText>
      </w:r>
      <w:r>
        <w:rPr>
          <w:rFonts w:ascii="Calibri" w:hAnsi="Calibri"/>
          <w:color w:val="auto"/>
          <w:sz w:val="28"/>
          <w:szCs w:val="28"/>
          <w:highlight w:val="none"/>
        </w:rPr>
        <w:fldChar w:fldCharType="separate"/>
      </w:r>
      <w:r>
        <w:rPr>
          <w:rFonts w:ascii="Calibri" w:hAnsi="Calibri"/>
          <w:color w:val="auto"/>
          <w:sz w:val="28"/>
          <w:szCs w:val="28"/>
          <w:highlight w:val="none"/>
        </w:rPr>
        <w:t>49</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b/>
          <w:bCs/>
          <w:color w:val="auto"/>
          <w:sz w:val="28"/>
          <w:szCs w:val="28"/>
          <w:highlight w:val="none"/>
        </w:rPr>
      </w:pPr>
      <w:r>
        <w:rPr>
          <w:rFonts w:hint="eastAsia" w:ascii="Calibri" w:hAnsi="Calibri" w:eastAsia="仿宋" w:cs="仿宋"/>
          <w:b/>
          <w:bCs/>
          <w:color w:val="auto"/>
          <w:sz w:val="28"/>
          <w:szCs w:val="28"/>
          <w:highlight w:val="none"/>
        </w:rPr>
        <w:fldChar w:fldCharType="begin"/>
      </w:r>
      <w:r>
        <w:rPr>
          <w:rFonts w:hint="eastAsia" w:ascii="Calibri" w:hAnsi="Calibri" w:eastAsia="仿宋" w:cs="仿宋"/>
          <w:b/>
          <w:bCs/>
          <w:color w:val="auto"/>
          <w:sz w:val="28"/>
          <w:szCs w:val="28"/>
          <w:highlight w:val="none"/>
        </w:rPr>
        <w:instrText xml:space="preserve"> HYPERLINK \l _Toc30591 </w:instrText>
      </w:r>
      <w:r>
        <w:rPr>
          <w:rFonts w:hint="eastAsia" w:ascii="Calibri" w:hAnsi="Calibri" w:eastAsia="仿宋" w:cs="仿宋"/>
          <w:b/>
          <w:bCs/>
          <w:color w:val="auto"/>
          <w:sz w:val="28"/>
          <w:szCs w:val="28"/>
          <w:highlight w:val="none"/>
        </w:rPr>
        <w:fldChar w:fldCharType="separate"/>
      </w:r>
      <w:r>
        <w:rPr>
          <w:rFonts w:hint="eastAsia" w:ascii="Calibri" w:hAnsi="Calibri"/>
          <w:b/>
          <w:bCs/>
          <w:color w:val="auto"/>
          <w:sz w:val="28"/>
          <w:szCs w:val="28"/>
          <w:highlight w:val="none"/>
        </w:rPr>
        <w:t>第</w:t>
      </w:r>
      <w:r>
        <w:rPr>
          <w:rFonts w:hint="eastAsia" w:ascii="Calibri" w:hAnsi="Calibri"/>
          <w:b/>
          <w:bCs/>
          <w:color w:val="auto"/>
          <w:sz w:val="28"/>
          <w:szCs w:val="28"/>
          <w:highlight w:val="none"/>
          <w:lang w:val="en-US" w:eastAsia="zh-CN"/>
        </w:rPr>
        <w:t>八</w:t>
      </w:r>
      <w:r>
        <w:rPr>
          <w:rFonts w:hint="eastAsia" w:ascii="Calibri" w:hAnsi="Calibri"/>
          <w:b/>
          <w:bCs/>
          <w:color w:val="auto"/>
          <w:sz w:val="28"/>
          <w:szCs w:val="28"/>
          <w:highlight w:val="none"/>
        </w:rPr>
        <w:t>章 保障机制</w:t>
      </w:r>
      <w:r>
        <w:rPr>
          <w:rFonts w:ascii="Calibri" w:hAnsi="Calibri"/>
          <w:b/>
          <w:bCs/>
          <w:color w:val="auto"/>
          <w:sz w:val="28"/>
          <w:szCs w:val="28"/>
          <w:highlight w:val="none"/>
        </w:rPr>
        <w:tab/>
      </w:r>
      <w:r>
        <w:rPr>
          <w:rFonts w:ascii="Calibri" w:hAnsi="Calibri"/>
          <w:b/>
          <w:bCs/>
          <w:color w:val="auto"/>
          <w:sz w:val="28"/>
          <w:szCs w:val="28"/>
          <w:highlight w:val="none"/>
        </w:rPr>
        <w:fldChar w:fldCharType="begin"/>
      </w:r>
      <w:r>
        <w:rPr>
          <w:rFonts w:ascii="Calibri" w:hAnsi="Calibri"/>
          <w:b/>
          <w:bCs/>
          <w:color w:val="auto"/>
          <w:sz w:val="28"/>
          <w:szCs w:val="28"/>
          <w:highlight w:val="none"/>
        </w:rPr>
        <w:instrText xml:space="preserve"> PAGEREF _Toc30591 </w:instrText>
      </w:r>
      <w:r>
        <w:rPr>
          <w:rFonts w:ascii="Calibri" w:hAnsi="Calibri"/>
          <w:b/>
          <w:bCs/>
          <w:color w:val="auto"/>
          <w:sz w:val="28"/>
          <w:szCs w:val="28"/>
          <w:highlight w:val="none"/>
        </w:rPr>
        <w:fldChar w:fldCharType="separate"/>
      </w:r>
      <w:r>
        <w:rPr>
          <w:rFonts w:ascii="Calibri" w:hAnsi="Calibri"/>
          <w:b/>
          <w:bCs/>
          <w:color w:val="auto"/>
          <w:sz w:val="28"/>
          <w:szCs w:val="28"/>
          <w:highlight w:val="none"/>
        </w:rPr>
        <w:t>53</w:t>
      </w:r>
      <w:r>
        <w:rPr>
          <w:rFonts w:ascii="Calibri" w:hAnsi="Calibri"/>
          <w:b/>
          <w:bCs/>
          <w:color w:val="auto"/>
          <w:sz w:val="28"/>
          <w:szCs w:val="28"/>
          <w:highlight w:val="none"/>
        </w:rPr>
        <w:fldChar w:fldCharType="end"/>
      </w:r>
      <w:r>
        <w:rPr>
          <w:rFonts w:hint="eastAsia" w:ascii="Calibri" w:hAnsi="Calibri" w:eastAsia="仿宋" w:cs="仿宋"/>
          <w:b/>
          <w:bCs/>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_Toc15888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第一节 加强组织领导</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_Toc15888 </w:instrText>
      </w:r>
      <w:r>
        <w:rPr>
          <w:rFonts w:ascii="Calibri" w:hAnsi="Calibri"/>
          <w:color w:val="auto"/>
          <w:sz w:val="28"/>
          <w:szCs w:val="28"/>
          <w:highlight w:val="none"/>
        </w:rPr>
        <w:fldChar w:fldCharType="separate"/>
      </w:r>
      <w:r>
        <w:rPr>
          <w:rFonts w:ascii="Calibri" w:hAnsi="Calibri"/>
          <w:color w:val="auto"/>
          <w:sz w:val="28"/>
          <w:szCs w:val="28"/>
          <w:highlight w:val="none"/>
        </w:rPr>
        <w:t>53</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_Toc7940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第二节 创新政策体系</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_Toc7940 </w:instrText>
      </w:r>
      <w:r>
        <w:rPr>
          <w:rFonts w:ascii="Calibri" w:hAnsi="Calibri"/>
          <w:color w:val="auto"/>
          <w:sz w:val="28"/>
          <w:szCs w:val="28"/>
          <w:highlight w:val="none"/>
        </w:rPr>
        <w:fldChar w:fldCharType="separate"/>
      </w:r>
      <w:r>
        <w:rPr>
          <w:rFonts w:ascii="Calibri" w:hAnsi="Calibri"/>
          <w:color w:val="auto"/>
          <w:sz w:val="28"/>
          <w:szCs w:val="28"/>
          <w:highlight w:val="none"/>
        </w:rPr>
        <w:t>54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_Toc26917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第三节 加强科技支撑</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_Toc26917 </w:instrText>
      </w:r>
      <w:r>
        <w:rPr>
          <w:rFonts w:ascii="Calibri" w:hAnsi="Calibri"/>
          <w:color w:val="auto"/>
          <w:sz w:val="28"/>
          <w:szCs w:val="28"/>
          <w:highlight w:val="none"/>
        </w:rPr>
        <w:fldChar w:fldCharType="separate"/>
      </w:r>
      <w:r>
        <w:rPr>
          <w:rFonts w:ascii="Calibri" w:hAnsi="Calibri"/>
          <w:color w:val="auto"/>
          <w:sz w:val="28"/>
          <w:szCs w:val="28"/>
          <w:highlight w:val="none"/>
        </w:rPr>
        <w:t>55</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_Toc25335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第四节 强化评估监管</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_Toc25335 </w:instrText>
      </w:r>
      <w:r>
        <w:rPr>
          <w:rFonts w:ascii="Calibri" w:hAnsi="Calibri"/>
          <w:color w:val="auto"/>
          <w:sz w:val="28"/>
          <w:szCs w:val="28"/>
          <w:highlight w:val="none"/>
        </w:rPr>
        <w:fldChar w:fldCharType="separate"/>
      </w:r>
      <w:r>
        <w:rPr>
          <w:rFonts w:ascii="Calibri" w:hAnsi="Calibri"/>
          <w:color w:val="auto"/>
          <w:sz w:val="28"/>
          <w:szCs w:val="28"/>
          <w:highlight w:val="none"/>
        </w:rPr>
        <w:t>56</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_Toc20305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第五节 鼓励公众参与</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_Toc20305 </w:instrText>
      </w:r>
      <w:r>
        <w:rPr>
          <w:rFonts w:ascii="Calibri" w:hAnsi="Calibri"/>
          <w:color w:val="auto"/>
          <w:sz w:val="28"/>
          <w:szCs w:val="28"/>
          <w:highlight w:val="none"/>
        </w:rPr>
        <w:fldChar w:fldCharType="separate"/>
      </w:r>
      <w:r>
        <w:rPr>
          <w:rFonts w:ascii="Calibri" w:hAnsi="Calibri"/>
          <w:color w:val="auto"/>
          <w:sz w:val="28"/>
          <w:szCs w:val="28"/>
          <w:highlight w:val="none"/>
        </w:rPr>
        <w:t>56</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_Toc5511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rPr>
        <w:t>第六节 拓宽融资渠道</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_Toc5511 </w:instrText>
      </w:r>
      <w:r>
        <w:rPr>
          <w:rFonts w:ascii="Calibri" w:hAnsi="Calibri"/>
          <w:color w:val="auto"/>
          <w:sz w:val="28"/>
          <w:szCs w:val="28"/>
          <w:highlight w:val="none"/>
        </w:rPr>
        <w:fldChar w:fldCharType="separate"/>
      </w:r>
      <w:r>
        <w:rPr>
          <w:rFonts w:ascii="Calibri" w:hAnsi="Calibri"/>
          <w:color w:val="auto"/>
          <w:sz w:val="28"/>
          <w:szCs w:val="28"/>
          <w:highlight w:val="none"/>
        </w:rPr>
        <w:t>58</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spacing w:before="313" w:beforeLines="100"/>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_Toc5894 </w:instrText>
      </w:r>
      <w:r>
        <w:rPr>
          <w:rFonts w:hint="eastAsia" w:ascii="Calibri" w:hAnsi="Calibri" w:eastAsia="仿宋" w:cs="仿宋"/>
          <w:color w:val="auto"/>
          <w:sz w:val="28"/>
          <w:szCs w:val="28"/>
          <w:highlight w:val="none"/>
        </w:rPr>
        <w:fldChar w:fldCharType="separate"/>
      </w:r>
      <w:r>
        <w:rPr>
          <w:rFonts w:hint="eastAsia" w:ascii="Calibri" w:hAnsi="Calibri" w:eastAsia="宋体" w:cs="宋体"/>
          <w:b/>
          <w:bCs w:val="0"/>
          <w:color w:val="auto"/>
          <w:spacing w:val="0"/>
          <w:sz w:val="28"/>
          <w:szCs w:val="28"/>
          <w:highlight w:val="none"/>
          <w:lang w:val="en-US" w:eastAsia="zh-CN"/>
        </w:rPr>
        <w:t>附表</w:t>
      </w:r>
      <w:r>
        <w:rPr>
          <w:rFonts w:hint="eastAsia" w:ascii="Calibri" w:hAnsi="Calibri" w:eastAsia="仿宋" w:cs="仿宋"/>
          <w:bCs/>
          <w:color w:val="auto"/>
          <w:spacing w:val="0"/>
          <w:sz w:val="28"/>
          <w:szCs w:val="28"/>
          <w:highlight w:val="none"/>
          <w:lang w:val="en-US" w:eastAsia="zh-CN"/>
        </w:rPr>
        <w:t xml:space="preserve">   龙南市“十四五”国土空间生态修复重大工程项目清单</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_Toc5894 </w:instrText>
      </w:r>
      <w:r>
        <w:rPr>
          <w:rFonts w:ascii="Calibri" w:hAnsi="Calibri"/>
          <w:color w:val="auto"/>
          <w:sz w:val="28"/>
          <w:szCs w:val="28"/>
          <w:highlight w:val="none"/>
        </w:rPr>
        <w:fldChar w:fldCharType="separate"/>
      </w:r>
      <w:r>
        <w:rPr>
          <w:rFonts w:ascii="Calibri" w:hAnsi="Calibri"/>
          <w:color w:val="auto"/>
          <w:sz w:val="28"/>
          <w:szCs w:val="28"/>
          <w:highlight w:val="none"/>
        </w:rPr>
        <w:t>60</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7"/>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_Toc29779 </w:instrText>
      </w:r>
      <w:r>
        <w:rPr>
          <w:rFonts w:hint="eastAsia" w:ascii="Calibri" w:hAnsi="Calibri" w:eastAsia="仿宋" w:cs="仿宋"/>
          <w:color w:val="auto"/>
          <w:sz w:val="28"/>
          <w:szCs w:val="28"/>
          <w:highlight w:val="none"/>
        </w:rPr>
        <w:fldChar w:fldCharType="separate"/>
      </w:r>
      <w:r>
        <w:rPr>
          <w:rFonts w:hint="eastAsia" w:ascii="Calibri" w:hAnsi="Calibri" w:eastAsia="宋体" w:cs="宋体"/>
          <w:b/>
          <w:bCs/>
          <w:color w:val="auto"/>
          <w:sz w:val="28"/>
          <w:szCs w:val="28"/>
          <w:highlight w:val="none"/>
        </w:rPr>
        <w:t>附图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_Toc29779 </w:instrText>
      </w:r>
      <w:r>
        <w:rPr>
          <w:rFonts w:ascii="Calibri" w:hAnsi="Calibri"/>
          <w:color w:val="auto"/>
          <w:sz w:val="28"/>
          <w:szCs w:val="28"/>
          <w:highlight w:val="none"/>
        </w:rPr>
        <w:fldChar w:fldCharType="separate"/>
      </w:r>
      <w:r>
        <w:rPr>
          <w:rFonts w:ascii="Calibri" w:hAnsi="Calibri"/>
          <w:color w:val="auto"/>
          <w:sz w:val="28"/>
          <w:szCs w:val="28"/>
          <w:highlight w:val="none"/>
        </w:rPr>
        <w:t>61</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_Toc23677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附图1</w:t>
      </w:r>
      <w:r>
        <w:rPr>
          <w:rFonts w:hint="eastAsia" w:ascii="Calibri" w:hAnsi="Calibri"/>
          <w:color w:val="auto"/>
          <w:sz w:val="28"/>
          <w:szCs w:val="28"/>
          <w:highlight w:val="none"/>
          <w:lang w:val="en-US" w:eastAsia="zh-CN" w:bidi="ar"/>
        </w:rPr>
        <w:t xml:space="preserve">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地理位置</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_Toc23677 </w:instrText>
      </w:r>
      <w:r>
        <w:rPr>
          <w:rFonts w:ascii="Calibri" w:hAnsi="Calibri"/>
          <w:color w:val="auto"/>
          <w:sz w:val="28"/>
          <w:szCs w:val="28"/>
          <w:highlight w:val="none"/>
        </w:rPr>
        <w:fldChar w:fldCharType="separate"/>
      </w:r>
      <w:r>
        <w:rPr>
          <w:rFonts w:ascii="Calibri" w:hAnsi="Calibri"/>
          <w:color w:val="auto"/>
          <w:sz w:val="28"/>
          <w:szCs w:val="28"/>
          <w:highlight w:val="none"/>
        </w:rPr>
        <w:t>61</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_Toc29565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2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自然地理格局</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_Toc29565 </w:instrText>
      </w:r>
      <w:r>
        <w:rPr>
          <w:rFonts w:ascii="Calibri" w:hAnsi="Calibri"/>
          <w:color w:val="auto"/>
          <w:sz w:val="28"/>
          <w:szCs w:val="28"/>
          <w:highlight w:val="none"/>
        </w:rPr>
        <w:fldChar w:fldCharType="separate"/>
      </w:r>
      <w:r>
        <w:rPr>
          <w:rFonts w:ascii="Calibri" w:hAnsi="Calibri"/>
          <w:color w:val="auto"/>
          <w:sz w:val="28"/>
          <w:szCs w:val="28"/>
          <w:highlight w:val="none"/>
        </w:rPr>
        <w:t>62</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_Toc4335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3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小流域分布</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_Toc4335 </w:instrText>
      </w:r>
      <w:r>
        <w:rPr>
          <w:rFonts w:ascii="Calibri" w:hAnsi="Calibri"/>
          <w:color w:val="auto"/>
          <w:sz w:val="28"/>
          <w:szCs w:val="28"/>
          <w:highlight w:val="none"/>
        </w:rPr>
        <w:fldChar w:fldCharType="separate"/>
      </w:r>
      <w:r>
        <w:rPr>
          <w:rFonts w:ascii="Calibri" w:hAnsi="Calibri"/>
          <w:color w:val="auto"/>
          <w:sz w:val="28"/>
          <w:szCs w:val="28"/>
          <w:highlight w:val="none"/>
        </w:rPr>
        <w:t>63</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_Toc24181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4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交通干线网络</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_Toc24181 </w:instrText>
      </w:r>
      <w:r>
        <w:rPr>
          <w:rFonts w:ascii="Calibri" w:hAnsi="Calibri"/>
          <w:color w:val="auto"/>
          <w:sz w:val="28"/>
          <w:szCs w:val="28"/>
          <w:highlight w:val="none"/>
        </w:rPr>
        <w:fldChar w:fldCharType="separate"/>
      </w:r>
      <w:r>
        <w:rPr>
          <w:rFonts w:ascii="Calibri" w:hAnsi="Calibri"/>
          <w:color w:val="auto"/>
          <w:sz w:val="28"/>
          <w:szCs w:val="28"/>
          <w:highlight w:val="none"/>
        </w:rPr>
        <w:t>64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_Toc23744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5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自然保护地分布</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_Toc23744 </w:instrText>
      </w:r>
      <w:r>
        <w:rPr>
          <w:rFonts w:ascii="Calibri" w:hAnsi="Calibri"/>
          <w:color w:val="auto"/>
          <w:sz w:val="28"/>
          <w:szCs w:val="28"/>
          <w:highlight w:val="none"/>
        </w:rPr>
        <w:fldChar w:fldCharType="separate"/>
      </w:r>
      <w:r>
        <w:rPr>
          <w:rFonts w:ascii="Calibri" w:hAnsi="Calibri"/>
          <w:color w:val="auto"/>
          <w:sz w:val="28"/>
          <w:szCs w:val="28"/>
          <w:highlight w:val="none"/>
        </w:rPr>
        <w:t>65</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_Toc25590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6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历史遗留矿山分布</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_Toc25590 </w:instrText>
      </w:r>
      <w:r>
        <w:rPr>
          <w:rFonts w:ascii="Calibri" w:hAnsi="Calibri"/>
          <w:color w:val="auto"/>
          <w:sz w:val="28"/>
          <w:szCs w:val="28"/>
          <w:highlight w:val="none"/>
        </w:rPr>
        <w:fldChar w:fldCharType="separate"/>
      </w:r>
      <w:r>
        <w:rPr>
          <w:rFonts w:ascii="Calibri" w:hAnsi="Calibri"/>
          <w:color w:val="auto"/>
          <w:sz w:val="28"/>
          <w:szCs w:val="28"/>
          <w:highlight w:val="none"/>
        </w:rPr>
        <w:t>66</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_Toc25601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7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城乡空间发展格局示意</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_Toc25601 </w:instrText>
      </w:r>
      <w:r>
        <w:rPr>
          <w:rFonts w:ascii="Calibri" w:hAnsi="Calibri"/>
          <w:color w:val="auto"/>
          <w:sz w:val="28"/>
          <w:szCs w:val="28"/>
          <w:highlight w:val="none"/>
        </w:rPr>
        <w:fldChar w:fldCharType="separate"/>
      </w:r>
      <w:r>
        <w:rPr>
          <w:rFonts w:ascii="Calibri" w:hAnsi="Calibri"/>
          <w:color w:val="auto"/>
          <w:sz w:val="28"/>
          <w:szCs w:val="28"/>
          <w:highlight w:val="none"/>
        </w:rPr>
        <w:t>67</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_Toc3848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8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生态保护重要性评价</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_Toc3848 </w:instrText>
      </w:r>
      <w:r>
        <w:rPr>
          <w:rFonts w:ascii="Calibri" w:hAnsi="Calibri"/>
          <w:color w:val="auto"/>
          <w:sz w:val="28"/>
          <w:szCs w:val="28"/>
          <w:highlight w:val="none"/>
        </w:rPr>
        <w:fldChar w:fldCharType="separate"/>
      </w:r>
      <w:r>
        <w:rPr>
          <w:rFonts w:ascii="Calibri" w:hAnsi="Calibri"/>
          <w:color w:val="auto"/>
          <w:sz w:val="28"/>
          <w:szCs w:val="28"/>
          <w:highlight w:val="none"/>
        </w:rPr>
        <w:t>68</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_Toc2027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9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生态服务功能重要性评价</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_Toc2027 </w:instrText>
      </w:r>
      <w:r>
        <w:rPr>
          <w:rFonts w:ascii="Calibri" w:hAnsi="Calibri"/>
          <w:color w:val="auto"/>
          <w:sz w:val="28"/>
          <w:szCs w:val="28"/>
          <w:highlight w:val="none"/>
        </w:rPr>
        <w:fldChar w:fldCharType="separate"/>
      </w:r>
      <w:r>
        <w:rPr>
          <w:rFonts w:ascii="Calibri" w:hAnsi="Calibri"/>
          <w:color w:val="auto"/>
          <w:sz w:val="28"/>
          <w:szCs w:val="28"/>
          <w:highlight w:val="none"/>
        </w:rPr>
        <w:t>69</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_Toc32011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10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生态敏感性评价</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_Toc32011 </w:instrText>
      </w:r>
      <w:r>
        <w:rPr>
          <w:rFonts w:ascii="Calibri" w:hAnsi="Calibri"/>
          <w:color w:val="auto"/>
          <w:sz w:val="28"/>
          <w:szCs w:val="28"/>
          <w:highlight w:val="none"/>
        </w:rPr>
        <w:fldChar w:fldCharType="separate"/>
      </w:r>
      <w:r>
        <w:rPr>
          <w:rFonts w:ascii="Calibri" w:hAnsi="Calibri"/>
          <w:color w:val="auto"/>
          <w:sz w:val="28"/>
          <w:szCs w:val="28"/>
          <w:highlight w:val="none"/>
        </w:rPr>
        <w:t>70</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_Toc21824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11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农业适宜性评价</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_Toc21824 </w:instrText>
      </w:r>
      <w:r>
        <w:rPr>
          <w:rFonts w:ascii="Calibri" w:hAnsi="Calibri"/>
          <w:color w:val="auto"/>
          <w:sz w:val="28"/>
          <w:szCs w:val="28"/>
          <w:highlight w:val="none"/>
        </w:rPr>
        <w:fldChar w:fldCharType="separate"/>
      </w:r>
      <w:r>
        <w:rPr>
          <w:rFonts w:ascii="Calibri" w:hAnsi="Calibri"/>
          <w:color w:val="auto"/>
          <w:sz w:val="28"/>
          <w:szCs w:val="28"/>
          <w:highlight w:val="none"/>
        </w:rPr>
        <w:t>71</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_Toc24849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12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城镇适宜性评价</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_Toc24849 </w:instrText>
      </w:r>
      <w:r>
        <w:rPr>
          <w:rFonts w:ascii="Calibri" w:hAnsi="Calibri"/>
          <w:color w:val="auto"/>
          <w:sz w:val="28"/>
          <w:szCs w:val="28"/>
          <w:highlight w:val="none"/>
        </w:rPr>
        <w:fldChar w:fldCharType="separate"/>
      </w:r>
      <w:r>
        <w:rPr>
          <w:rFonts w:ascii="Calibri" w:hAnsi="Calibri"/>
          <w:color w:val="auto"/>
          <w:sz w:val="28"/>
          <w:szCs w:val="28"/>
          <w:highlight w:val="none"/>
        </w:rPr>
        <w:t>72</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_Toc3772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13  国家和江西省关于</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主体功能区划</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_Toc3772 </w:instrText>
      </w:r>
      <w:r>
        <w:rPr>
          <w:rFonts w:ascii="Calibri" w:hAnsi="Calibri"/>
          <w:color w:val="auto"/>
          <w:sz w:val="28"/>
          <w:szCs w:val="28"/>
          <w:highlight w:val="none"/>
        </w:rPr>
        <w:fldChar w:fldCharType="separate"/>
      </w:r>
      <w:r>
        <w:rPr>
          <w:rFonts w:ascii="Calibri" w:hAnsi="Calibri"/>
          <w:color w:val="auto"/>
          <w:sz w:val="28"/>
          <w:szCs w:val="28"/>
          <w:highlight w:val="none"/>
        </w:rPr>
        <w:t>73</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_Toc10004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14  </w:t>
      </w:r>
      <w:r>
        <w:rPr>
          <w:rFonts w:hint="eastAsia" w:ascii="Calibri" w:hAnsi="Calibri"/>
          <w:color w:val="auto"/>
          <w:sz w:val="28"/>
          <w:szCs w:val="28"/>
          <w:highlight w:val="none"/>
          <w:lang w:bidi="ar"/>
        </w:rPr>
        <w:t>龙南市</w:t>
      </w:r>
      <w:r>
        <w:rPr>
          <w:rFonts w:hint="eastAsia" w:ascii="Calibri" w:hAnsi="Calibri"/>
          <w:color w:val="auto"/>
          <w:sz w:val="28"/>
          <w:szCs w:val="28"/>
          <w:highlight w:val="none"/>
          <w:lang w:val="en-US" w:eastAsia="zh-CN" w:bidi="ar"/>
        </w:rPr>
        <w:t>生态安全格局示意</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_Toc10004 </w:instrText>
      </w:r>
      <w:r>
        <w:rPr>
          <w:rFonts w:ascii="Calibri" w:hAnsi="Calibri"/>
          <w:color w:val="auto"/>
          <w:sz w:val="28"/>
          <w:szCs w:val="28"/>
          <w:highlight w:val="none"/>
        </w:rPr>
        <w:fldChar w:fldCharType="separate"/>
      </w:r>
      <w:r>
        <w:rPr>
          <w:rFonts w:ascii="Calibri" w:hAnsi="Calibri"/>
          <w:color w:val="auto"/>
          <w:sz w:val="28"/>
          <w:szCs w:val="28"/>
          <w:highlight w:val="none"/>
        </w:rPr>
        <w:t>74</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rFonts w:ascii="Calibri" w:hAnsi="Calibri"/>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_Toc31733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附图1</w:t>
      </w:r>
      <w:r>
        <w:rPr>
          <w:rFonts w:hint="eastAsia" w:ascii="Calibri" w:hAnsi="Calibri"/>
          <w:color w:val="auto"/>
          <w:sz w:val="28"/>
          <w:szCs w:val="28"/>
          <w:highlight w:val="none"/>
          <w:lang w:val="en-US" w:eastAsia="zh-CN" w:bidi="ar"/>
        </w:rPr>
        <w:t xml:space="preserve">5  </w:t>
      </w:r>
      <w:r>
        <w:rPr>
          <w:rFonts w:hint="eastAsia" w:ascii="Calibri" w:hAnsi="Calibri"/>
          <w:color w:val="auto"/>
          <w:sz w:val="28"/>
          <w:szCs w:val="28"/>
          <w:highlight w:val="none"/>
          <w:lang w:bidi="ar"/>
        </w:rPr>
        <w:t>龙南市生态修复总体布局图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_Toc31733 </w:instrText>
      </w:r>
      <w:r>
        <w:rPr>
          <w:rFonts w:ascii="Calibri" w:hAnsi="Calibri"/>
          <w:color w:val="auto"/>
          <w:sz w:val="28"/>
          <w:szCs w:val="28"/>
          <w:highlight w:val="none"/>
        </w:rPr>
        <w:fldChar w:fldCharType="separate"/>
      </w:r>
      <w:r>
        <w:rPr>
          <w:rFonts w:ascii="Calibri" w:hAnsi="Calibri"/>
          <w:color w:val="auto"/>
          <w:sz w:val="28"/>
          <w:szCs w:val="28"/>
          <w:highlight w:val="none"/>
        </w:rPr>
        <w:t>75</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pStyle w:val="19"/>
        <w:keepNext w:val="0"/>
        <w:keepLines w:val="0"/>
        <w:pageBreakBefore w:val="0"/>
        <w:widowControl w:val="0"/>
        <w:tabs>
          <w:tab w:val="right" w:leader="dot" w:pos="8504"/>
        </w:tabs>
        <w:kinsoku/>
        <w:wordWrap/>
        <w:overflowPunct w:val="0"/>
        <w:topLinePunct w:val="0"/>
        <w:autoSpaceDE/>
        <w:autoSpaceDN/>
        <w:bidi w:val="0"/>
        <w:adjustRightInd/>
        <w:snapToGrid/>
        <w:textAlignment w:val="auto"/>
        <w:rPr>
          <w:color w:val="auto"/>
          <w:sz w:val="28"/>
          <w:szCs w:val="28"/>
          <w:highlight w:val="none"/>
        </w:rPr>
      </w:pPr>
      <w:r>
        <w:rPr>
          <w:rFonts w:hint="eastAsia" w:ascii="Calibri" w:hAnsi="Calibri" w:eastAsia="仿宋" w:cs="仿宋"/>
          <w:color w:val="auto"/>
          <w:sz w:val="28"/>
          <w:szCs w:val="28"/>
          <w:highlight w:val="none"/>
        </w:rPr>
        <w:fldChar w:fldCharType="begin"/>
      </w:r>
      <w:r>
        <w:rPr>
          <w:rFonts w:hint="eastAsia" w:ascii="Calibri" w:hAnsi="Calibri" w:eastAsia="仿宋" w:cs="仿宋"/>
          <w:color w:val="auto"/>
          <w:sz w:val="28"/>
          <w:szCs w:val="28"/>
          <w:highlight w:val="none"/>
        </w:rPr>
        <w:instrText xml:space="preserve"> HYPERLINK \l _Toc24007 </w:instrText>
      </w:r>
      <w:r>
        <w:rPr>
          <w:rFonts w:hint="eastAsia" w:ascii="Calibri" w:hAnsi="Calibri" w:eastAsia="仿宋" w:cs="仿宋"/>
          <w:color w:val="auto"/>
          <w:sz w:val="28"/>
          <w:szCs w:val="28"/>
          <w:highlight w:val="none"/>
        </w:rPr>
        <w:fldChar w:fldCharType="separate"/>
      </w:r>
      <w:r>
        <w:rPr>
          <w:rFonts w:hint="eastAsia" w:ascii="Calibri" w:hAnsi="Calibri"/>
          <w:color w:val="auto"/>
          <w:sz w:val="28"/>
          <w:szCs w:val="28"/>
          <w:highlight w:val="none"/>
          <w:lang w:bidi="ar"/>
        </w:rPr>
        <w:t>附图</w:t>
      </w:r>
      <w:r>
        <w:rPr>
          <w:rFonts w:hint="eastAsia" w:ascii="Calibri" w:hAnsi="Calibri"/>
          <w:color w:val="auto"/>
          <w:sz w:val="28"/>
          <w:szCs w:val="28"/>
          <w:highlight w:val="none"/>
          <w:lang w:val="en-US" w:eastAsia="zh-CN" w:bidi="ar"/>
        </w:rPr>
        <w:t xml:space="preserve">16  </w:t>
      </w:r>
      <w:r>
        <w:rPr>
          <w:rFonts w:hint="eastAsia" w:ascii="Calibri" w:hAnsi="Calibri"/>
          <w:color w:val="auto"/>
          <w:sz w:val="28"/>
          <w:szCs w:val="28"/>
          <w:highlight w:val="none"/>
          <w:lang w:bidi="ar"/>
        </w:rPr>
        <w:t>龙南市生态修复</w:t>
      </w:r>
      <w:r>
        <w:rPr>
          <w:rFonts w:hint="eastAsia" w:ascii="Calibri" w:hAnsi="Calibri"/>
          <w:color w:val="auto"/>
          <w:sz w:val="28"/>
          <w:szCs w:val="28"/>
          <w:highlight w:val="none"/>
          <w:lang w:val="en-US" w:eastAsia="zh-CN" w:bidi="ar"/>
        </w:rPr>
        <w:t>重大工程分布</w:t>
      </w:r>
      <w:r>
        <w:rPr>
          <w:rFonts w:hint="eastAsia" w:ascii="Calibri" w:hAnsi="Calibri"/>
          <w:color w:val="auto"/>
          <w:sz w:val="28"/>
          <w:szCs w:val="28"/>
          <w:highlight w:val="none"/>
          <w:lang w:bidi="ar"/>
        </w:rPr>
        <w:t>图</w:t>
      </w:r>
      <w:r>
        <w:rPr>
          <w:rFonts w:ascii="Calibri" w:hAnsi="Calibri"/>
          <w:color w:val="auto"/>
          <w:sz w:val="28"/>
          <w:szCs w:val="28"/>
          <w:highlight w:val="none"/>
        </w:rPr>
        <w:tab/>
      </w:r>
      <w:r>
        <w:rPr>
          <w:rFonts w:ascii="Calibri" w:hAnsi="Calibri"/>
          <w:color w:val="auto"/>
          <w:sz w:val="28"/>
          <w:szCs w:val="28"/>
          <w:highlight w:val="none"/>
        </w:rPr>
        <w:fldChar w:fldCharType="begin"/>
      </w:r>
      <w:r>
        <w:rPr>
          <w:rFonts w:ascii="Calibri" w:hAnsi="Calibri"/>
          <w:color w:val="auto"/>
          <w:sz w:val="28"/>
          <w:szCs w:val="28"/>
          <w:highlight w:val="none"/>
        </w:rPr>
        <w:instrText xml:space="preserve"> PAGEREF _Toc24007 </w:instrText>
      </w:r>
      <w:r>
        <w:rPr>
          <w:rFonts w:ascii="Calibri" w:hAnsi="Calibri"/>
          <w:color w:val="auto"/>
          <w:sz w:val="28"/>
          <w:szCs w:val="28"/>
          <w:highlight w:val="none"/>
        </w:rPr>
        <w:fldChar w:fldCharType="separate"/>
      </w:r>
      <w:r>
        <w:rPr>
          <w:rFonts w:ascii="Calibri" w:hAnsi="Calibri"/>
          <w:color w:val="auto"/>
          <w:sz w:val="28"/>
          <w:szCs w:val="28"/>
          <w:highlight w:val="none"/>
        </w:rPr>
        <w:t>76</w:t>
      </w:r>
      <w:r>
        <w:rPr>
          <w:rFonts w:ascii="Calibri" w:hAnsi="Calibri"/>
          <w:color w:val="auto"/>
          <w:sz w:val="28"/>
          <w:szCs w:val="28"/>
          <w:highlight w:val="none"/>
        </w:rPr>
        <w:fldChar w:fldCharType="end"/>
      </w:r>
      <w:r>
        <w:rPr>
          <w:rFonts w:hint="eastAsia" w:ascii="Calibri" w:hAnsi="Calibri" w:eastAsia="仿宋" w:cs="仿宋"/>
          <w:color w:val="auto"/>
          <w:sz w:val="28"/>
          <w:szCs w:val="28"/>
          <w:highlight w:val="none"/>
        </w:rPr>
        <w:fldChar w:fldCharType="end"/>
      </w:r>
    </w:p>
    <w:p>
      <w:pPr>
        <w:keepNext w:val="0"/>
        <w:keepLines w:val="0"/>
        <w:pageBreakBefore w:val="0"/>
        <w:widowControl w:val="0"/>
        <w:kinsoku/>
        <w:wordWrap/>
        <w:overflowPunct w:val="0"/>
        <w:topLinePunct w:val="0"/>
        <w:autoSpaceDE/>
        <w:autoSpaceDN/>
        <w:bidi w:val="0"/>
        <w:adjustRightInd/>
        <w:snapToGrid/>
        <w:ind w:firstLine="0" w:firstLineChars="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end"/>
      </w:r>
    </w:p>
    <w:p>
      <w:pPr>
        <w:keepNext w:val="0"/>
        <w:keepLines w:val="0"/>
        <w:pageBreakBefore w:val="0"/>
        <w:widowControl w:val="0"/>
        <w:kinsoku/>
        <w:wordWrap/>
        <w:overflowPunct w:val="0"/>
        <w:topLinePunct w:val="0"/>
        <w:autoSpaceDE/>
        <w:autoSpaceDN/>
        <w:bidi w:val="0"/>
        <w:adjustRightInd/>
        <w:snapToGrid/>
        <w:ind w:firstLine="0" w:firstLineChars="0"/>
        <w:textAlignment w:val="auto"/>
        <w:rPr>
          <w:rFonts w:hint="eastAsia" w:ascii="仿宋" w:hAnsi="仿宋" w:eastAsia="仿宋" w:cs="仿宋"/>
          <w:color w:val="auto"/>
          <w:sz w:val="28"/>
          <w:szCs w:val="28"/>
          <w:highlight w:val="none"/>
        </w:rPr>
      </w:pPr>
    </w:p>
    <w:p>
      <w:pPr>
        <w:pStyle w:val="2"/>
        <w:rPr>
          <w:rFonts w:hint="eastAsia" w:ascii="仿宋" w:hAnsi="仿宋" w:eastAsia="仿宋" w:cs="仿宋"/>
          <w:color w:val="auto"/>
          <w:highlight w:val="none"/>
        </w:rPr>
      </w:pPr>
    </w:p>
    <w:p>
      <w:pPr>
        <w:pStyle w:val="2"/>
        <w:rPr>
          <w:rFonts w:hint="eastAsia" w:ascii="仿宋" w:hAnsi="仿宋" w:eastAsia="仿宋" w:cs="仿宋"/>
          <w:color w:val="auto"/>
          <w:highlight w:val="none"/>
        </w:rPr>
        <w:sectPr>
          <w:pgSz w:w="11906" w:h="16838"/>
          <w:pgMar w:top="1417" w:right="1701" w:bottom="1417" w:left="1701" w:header="851" w:footer="992" w:gutter="0"/>
          <w:pgNumType w:start="1"/>
          <w:cols w:space="0" w:num="1"/>
          <w:rtlGutter w:val="0"/>
          <w:docGrid w:type="lines" w:linePitch="312" w:charSpace="0"/>
        </w:sectPr>
      </w:pPr>
    </w:p>
    <w:p>
      <w:pPr>
        <w:pStyle w:val="4"/>
        <w:rPr>
          <w:color w:val="auto"/>
          <w:highlight w:val="none"/>
        </w:rPr>
      </w:pPr>
      <w:bookmarkStart w:id="0" w:name="_Toc6"/>
      <w:bookmarkStart w:id="1" w:name="_Toc14363"/>
      <w:r>
        <w:rPr>
          <w:rFonts w:hint="eastAsia"/>
          <w:color w:val="auto"/>
          <w:highlight w:val="none"/>
        </w:rPr>
        <w:t>前言</w:t>
      </w:r>
      <w:bookmarkEnd w:id="0"/>
      <w:bookmarkEnd w:id="1"/>
    </w:p>
    <w:p>
      <w:pPr>
        <w:ind w:firstLine="640"/>
        <w:rPr>
          <w:color w:val="auto"/>
          <w:highlight w:val="none"/>
        </w:rPr>
      </w:pPr>
    </w:p>
    <w:p>
      <w:pPr>
        <w:ind w:firstLine="640"/>
        <w:rPr>
          <w:color w:val="auto"/>
          <w:highlight w:val="none"/>
        </w:rPr>
      </w:pPr>
      <w:r>
        <w:rPr>
          <w:rFonts w:hint="eastAsia"/>
          <w:color w:val="auto"/>
          <w:highlight w:val="none"/>
        </w:rPr>
        <w:t>“十四五”时期是我国“两个一百年”奋斗目标承前启后的历史交汇期；是</w:t>
      </w:r>
      <w:r>
        <w:rPr>
          <w:rFonts w:hint="eastAsia"/>
          <w:color w:val="auto"/>
          <w:highlight w:val="none"/>
          <w:lang w:val="en-US" w:eastAsia="zh-CN"/>
        </w:rPr>
        <w:t>龙南市</w:t>
      </w:r>
      <w:r>
        <w:rPr>
          <w:rFonts w:hint="eastAsia"/>
          <w:color w:val="auto"/>
          <w:highlight w:val="none"/>
        </w:rPr>
        <w:t>甩开膀子建设社会主义现代化的战略机遇期；也是</w:t>
      </w:r>
      <w:r>
        <w:rPr>
          <w:rFonts w:hint="eastAsia"/>
          <w:color w:val="auto"/>
          <w:highlight w:val="none"/>
          <w:lang w:val="en-US" w:eastAsia="zh-CN"/>
        </w:rPr>
        <w:t>我市</w:t>
      </w:r>
      <w:r>
        <w:rPr>
          <w:rFonts w:hint="eastAsia"/>
          <w:color w:val="auto"/>
          <w:highlight w:val="none"/>
        </w:rPr>
        <w:t>迈开步子开展生态文明建设的加速换挡期；更是</w:t>
      </w:r>
      <w:r>
        <w:rPr>
          <w:rFonts w:hint="eastAsia"/>
          <w:color w:val="auto"/>
          <w:highlight w:val="none"/>
          <w:lang w:val="en-US" w:eastAsia="zh-CN"/>
        </w:rPr>
        <w:t>我市</w:t>
      </w:r>
      <w:r>
        <w:rPr>
          <w:rFonts w:hint="eastAsia"/>
          <w:color w:val="auto"/>
          <w:highlight w:val="none"/>
        </w:rPr>
        <w:t>调和经济发展与生态保护矛盾实现绿色发展的勠力攻坚期。站在新的历史起点之上，处在新的时代风口面前，生态文明建设有了更加丰富的内涵、更加艰巨的任务、更加深远的意义，因此根据生态以及经济现况科学编制《龙南市国土空间生态修复规划（2021-2035）》，系统谋划全市生态保护与修复指导方针、目标指标、战略任务和重大举措对于我区发展有举足轻重的意义。</w:t>
      </w:r>
    </w:p>
    <w:p>
      <w:pPr>
        <w:ind w:firstLine="640"/>
        <w:rPr>
          <w:color w:val="auto"/>
          <w:highlight w:val="none"/>
        </w:rPr>
      </w:pPr>
      <w:r>
        <w:rPr>
          <w:rFonts w:hint="eastAsia"/>
          <w:color w:val="auto"/>
          <w:highlight w:val="none"/>
        </w:rPr>
        <w:t>生态安全是经济安全和社会安全的基础，随着社会经济的发展以及人们对于生态重要性认识与研究的不断深入，生态安全与国防安全、经济安全、金融安全等已具有同等重要的战略地位，并构成国家安全、区域安全的重要内容。党的十八大以来，以习近平同志为核心的党中央将生态文明建设纳入了“五位一体”总体布局、新时代基本方略、新发展理念和三大攻坚战中，开展了一系列根本性、开创性、长远性工作。山水林田湖草生命共同体理念的提出更是告别以往治山、治水各自为战的单打独斗局面，统筹各个生态系统，系统化开展生态文明建设。</w:t>
      </w:r>
    </w:p>
    <w:p>
      <w:pPr>
        <w:ind w:firstLine="640"/>
        <w:rPr>
          <w:color w:val="auto"/>
          <w:highlight w:val="none"/>
        </w:rPr>
      </w:pPr>
      <w:r>
        <w:rPr>
          <w:rFonts w:hint="eastAsia"/>
          <w:color w:val="auto"/>
          <w:highlight w:val="none"/>
        </w:rPr>
        <w:t>为完成绿色发展这一深刻革命，找准生态命脉、生态问题所在，系统筹谋龙南市生态保护与修复格局，科学部署重要生态保护与修复工程项目，秉要执本，有效解决生态问题提高生态质量，为当前和今后一段时间开展国土空间生态保护与修复活动进行指导，龙南市自然资源局编制了《龙南市国土空间生态修复规划（2021-2035）》（以下简称规划）。</w:t>
      </w:r>
    </w:p>
    <w:p>
      <w:pPr>
        <w:ind w:firstLine="640"/>
        <w:rPr>
          <w:color w:val="auto"/>
          <w:highlight w:val="none"/>
        </w:rPr>
        <w:sectPr>
          <w:footerReference r:id="rId11" w:type="default"/>
          <w:pgSz w:w="11906" w:h="16838"/>
          <w:pgMar w:top="1418" w:right="1418" w:bottom="1418" w:left="1418" w:header="851" w:footer="992" w:gutter="0"/>
          <w:pgNumType w:start="1"/>
          <w:cols w:space="425" w:num="1"/>
          <w:docGrid w:type="lines" w:linePitch="312" w:charSpace="0"/>
        </w:sectPr>
      </w:pPr>
      <w:r>
        <w:rPr>
          <w:rFonts w:hint="eastAsia"/>
          <w:color w:val="auto"/>
          <w:highlight w:val="none"/>
        </w:rPr>
        <w:t>《规划》范围覆盖龙南市全域国土空间，</w:t>
      </w:r>
      <w:r>
        <w:rPr>
          <w:rFonts w:hint="eastAsia" w:ascii="Times New Roman" w:hAnsi="Times New Roman" w:eastAsia="仿宋_GB2312" w:cs="Times New Roman"/>
          <w:color w:val="auto"/>
          <w:sz w:val="32"/>
          <w:szCs w:val="28"/>
          <w:highlight w:val="none"/>
          <w:lang w:val="en-US" w:eastAsia="zh-CN"/>
        </w:rPr>
        <w:t>土地总面积1646平方公里，</w:t>
      </w:r>
      <w:r>
        <w:rPr>
          <w:rFonts w:hint="eastAsia"/>
          <w:color w:val="auto"/>
          <w:highlight w:val="none"/>
        </w:rPr>
        <w:t>规划</w:t>
      </w:r>
      <w:r>
        <w:rPr>
          <w:rFonts w:hint="eastAsia"/>
          <w:color w:val="auto"/>
          <w:highlight w:val="none"/>
          <w:lang w:eastAsia="zh-CN"/>
        </w:rPr>
        <w:t>基准年</w:t>
      </w:r>
      <w:r>
        <w:rPr>
          <w:rFonts w:hint="eastAsia"/>
          <w:color w:val="auto"/>
          <w:highlight w:val="none"/>
        </w:rPr>
        <w:t>为2020年，规划期为2021-2025年，展望至2035年。《规划》总结回望“十三五”期间生态工作的经验与不足与生态变化，以问题为导向，以新时代形势、理念、要求为指导，以优化国土空间生态格局与生态品质为立足点，研究提出龙南市“十四五”国土空间生态保护与修复工作的规划目标、规划任务、生态保护与修复格局、重点任务、重大工程和保障措施。</w:t>
      </w:r>
    </w:p>
    <w:p>
      <w:pPr>
        <w:pStyle w:val="4"/>
        <w:rPr>
          <w:color w:val="auto"/>
          <w:highlight w:val="none"/>
        </w:rPr>
      </w:pPr>
      <w:bookmarkStart w:id="2" w:name="_Toc8825"/>
      <w:bookmarkStart w:id="3" w:name="_Toc10391"/>
      <w:r>
        <w:rPr>
          <w:rFonts w:hint="eastAsia"/>
          <w:color w:val="auto"/>
          <w:highlight w:val="none"/>
        </w:rPr>
        <w:t>第一章 面临形势</w:t>
      </w:r>
      <w:bookmarkEnd w:id="2"/>
      <w:bookmarkEnd w:id="3"/>
    </w:p>
    <w:p>
      <w:pPr>
        <w:ind w:firstLine="640"/>
        <w:rPr>
          <w:color w:val="auto"/>
          <w:highlight w:val="none"/>
        </w:rPr>
      </w:pPr>
    </w:p>
    <w:p>
      <w:pPr>
        <w:pStyle w:val="5"/>
        <w:rPr>
          <w:color w:val="auto"/>
          <w:highlight w:val="none"/>
        </w:rPr>
      </w:pPr>
      <w:bookmarkStart w:id="4" w:name="_Toc16507"/>
      <w:bookmarkStart w:id="5" w:name="_Toc8400"/>
      <w:r>
        <w:rPr>
          <w:rFonts w:hint="eastAsia"/>
          <w:color w:val="auto"/>
          <w:highlight w:val="none"/>
        </w:rPr>
        <w:t>第一节 形势与要求</w:t>
      </w:r>
      <w:bookmarkEnd w:id="4"/>
      <w:bookmarkEnd w:id="5"/>
    </w:p>
    <w:p>
      <w:pPr>
        <w:ind w:firstLine="640"/>
        <w:rPr>
          <w:color w:val="auto"/>
          <w:highlight w:val="none"/>
        </w:rPr>
      </w:pPr>
      <w:r>
        <w:rPr>
          <w:rFonts w:hint="eastAsia"/>
          <w:color w:val="auto"/>
          <w:highlight w:val="none"/>
        </w:rPr>
        <w:t>随着我国步入新发展阶段，传统的粗放型发展模式已经难以为继，因国土空间不合理开发利用而导致的土地利用格局失调、资源利用低效、生物多样性退化、生态系统功能受损等生态环境问题，已成为影响和制约中国社会经济发展的主要因素。</w:t>
      </w:r>
    </w:p>
    <w:p>
      <w:pPr>
        <w:ind w:firstLine="640"/>
        <w:rPr>
          <w:color w:val="auto"/>
          <w:highlight w:val="none"/>
        </w:rPr>
      </w:pPr>
      <w:r>
        <w:rPr>
          <w:rFonts w:hint="eastAsia"/>
          <w:color w:val="auto"/>
          <w:highlight w:val="none"/>
        </w:rPr>
        <w:t>党的十八大以来，以习近平同志为核心的党中央高度重视生态文明建设，一体</w:t>
      </w:r>
      <w:r>
        <w:rPr>
          <w:rFonts w:hint="eastAsia"/>
          <w:color w:val="auto"/>
          <w:highlight w:val="none"/>
          <w:lang w:val="en-US" w:eastAsia="zh-CN"/>
        </w:rPr>
        <w:t>化</w:t>
      </w:r>
      <w:r>
        <w:rPr>
          <w:rFonts w:hint="eastAsia"/>
          <w:color w:val="auto"/>
          <w:highlight w:val="none"/>
        </w:rPr>
        <w:t>治理山水林田湖草沙，开展了一系列根本性、开创性、长远性工作，决心之大、力度之大、成效之大前所未有，生态文明建设从认识到实践都发生了历史性、转折性、全局性的变化。为贯彻落实习近平生态文明思想，党中央、国务院相继出台了《关于加快推进生态文明建设的意见》、《生态文明体制改革总体方案》、《关于建立国土空间规划体系并监督实施的若干意见》、《关于坚持和完善中国特色社会主义制度推进国家治理体系和治理能力现代化若干重大问题的决定》等多项重要政策文件，均对国土空间生态修复提出了明确要求和部署。</w:t>
      </w:r>
    </w:p>
    <w:p>
      <w:pPr>
        <w:ind w:firstLine="640"/>
        <w:rPr>
          <w:color w:val="auto"/>
          <w:highlight w:val="none"/>
        </w:rPr>
      </w:pPr>
      <w:r>
        <w:rPr>
          <w:rFonts w:hint="eastAsia"/>
          <w:color w:val="auto"/>
          <w:highlight w:val="none"/>
        </w:rPr>
        <w:t>新时代，国土空间生态修复工作被赋予了全新的职责和使命，由过去单一要素的保护修复转变成为以多要素构成的统一的国土空间生态修复；由以往的单一目标向具有显著区域性、空间性、系统性、功能性、综合性等提升区域生态系统整体稳定性与安全性的目标转变，实现退化生态系统的“整体保护、系统修复、综合治理”。</w:t>
      </w:r>
    </w:p>
    <w:p>
      <w:pPr>
        <w:ind w:firstLine="640"/>
        <w:rPr>
          <w:color w:val="auto"/>
          <w:highlight w:val="none"/>
        </w:rPr>
      </w:pPr>
      <w:r>
        <w:rPr>
          <w:rFonts w:hint="eastAsia"/>
          <w:color w:val="auto"/>
          <w:highlight w:val="none"/>
        </w:rPr>
        <w:t>“十四五”时期，是我国全面建设社会主义现代化国家新征程的起步期，是我市全面建成小康社会后加快建设革命老区高质量发展示范区“龙南样板”的关键期。科学编制龙南市国土空间生态修复规划（2021-2035），正视突出生态问题，预判重大生态风险；谋划市域国土空间生态修复总体布局，稳步推进国土空间全域生态保护修复、实行山水林田湖草整体保护、系统修复、综合治理，明确市域国土空间整体修复目标任务，确定生态修复重点区域和重点工程，筑牢生态安全屏障、增强生态系统固碳能力，促进国土空间格局优化，提供优质生态产品具有关键性作用。对于巩固全面建成小康社会成果、持续提升生态文明建设和生态环境保护水平、加快建设美丽中国“龙南样板”有着重要意义。</w:t>
      </w:r>
    </w:p>
    <w:p>
      <w:pPr>
        <w:pStyle w:val="5"/>
        <w:rPr>
          <w:color w:val="auto"/>
          <w:highlight w:val="none"/>
        </w:rPr>
      </w:pPr>
      <w:bookmarkStart w:id="6" w:name="_Toc29034"/>
      <w:bookmarkStart w:id="7" w:name="_Toc6523"/>
      <w:r>
        <w:rPr>
          <w:rFonts w:hint="eastAsia"/>
          <w:color w:val="auto"/>
          <w:highlight w:val="none"/>
        </w:rPr>
        <w:t>第二节 生态修复工作成效</w:t>
      </w:r>
      <w:bookmarkEnd w:id="6"/>
      <w:bookmarkEnd w:id="7"/>
    </w:p>
    <w:p>
      <w:pPr>
        <w:pStyle w:val="6"/>
        <w:rPr>
          <w:color w:val="auto"/>
          <w:highlight w:val="none"/>
        </w:rPr>
      </w:pPr>
      <w:bookmarkStart w:id="8" w:name="_Toc66368018"/>
      <w:r>
        <w:rPr>
          <w:rFonts w:hint="eastAsia"/>
          <w:color w:val="auto"/>
          <w:highlight w:val="none"/>
        </w:rPr>
        <w:t>一、</w:t>
      </w:r>
      <w:bookmarkEnd w:id="8"/>
      <w:r>
        <w:rPr>
          <w:rFonts w:hint="eastAsia"/>
          <w:color w:val="auto"/>
          <w:highlight w:val="none"/>
        </w:rPr>
        <w:t>森林保育工作卓有成效，生态资源库存持续扩大</w:t>
      </w:r>
    </w:p>
    <w:p>
      <w:pPr>
        <w:ind w:firstLine="640"/>
        <w:rPr>
          <w:color w:val="auto"/>
          <w:highlight w:val="none"/>
        </w:rPr>
      </w:pPr>
      <w:r>
        <w:rPr>
          <w:rFonts w:hint="eastAsia"/>
          <w:color w:val="auto"/>
          <w:highlight w:val="none"/>
        </w:rPr>
        <w:t>“十三五”时期，龙南市全面贯彻“两山”价值理念，积极落实生态建设工程，推动森林和湿地资源数量稳步增长，促进生态环境持续改善。龙南市森林资源二类调查成果显示，全市林地面积204.39万亩，森林面积198.93万亩（其中：竹林17万亩，脐橙6.3万亩，油茶3.5万亩），活立木蓄积量1065万立方米，毛竹株数3158.2万株，森林覆盖率82.20%，位居全省前列。市林业部门高度重视市内低质低效林改造工作，坚持高标准规划、大投入建设、全方位推动，按期完成低效林改造125400亩，其中更新改造种植18300亩、补植改造种植29700亩、抚育改造42000亩、封育改造35400亩；积极开展乡村风景林建设，期内完成6个自然村的风景林建设，共计面积1395亩；深入推进生态廊道绿化，期内完成通道绿化52公里、河道绿化44.3公里、城乡绿化2682亩。</w:t>
      </w:r>
    </w:p>
    <w:p>
      <w:pPr>
        <w:ind w:firstLine="640"/>
        <w:rPr>
          <w:color w:val="auto"/>
          <w:highlight w:val="none"/>
        </w:rPr>
      </w:pPr>
      <w:r>
        <w:rPr>
          <w:rFonts w:hint="eastAsia"/>
          <w:color w:val="auto"/>
          <w:highlight w:val="none"/>
        </w:rPr>
        <w:t>龙南市委市政府依据得天独厚的自然地理条件，因势利导顺势而为，实现林业产业多点开花，创益增收。扩增木材战略储备，期内完成建设大径用材林基地15090亩，工业原料用材林基地14790亩，珍贵树种用材林基地4995亩；抚育改造毛竹丰产林，期内完成毛竹林抚育29430亩，低产毛竹林改造97295亩；培育特色花卉苗木，期内建设特色花卉苗木培育基地2205亩；建设高产油茶林基地，期内新造高产油茶林基地10000亩，低产油茶林改造35100亩，高产油茶林抚育2500亩；助推林下经济发展，期内种植林下药材60000亩，培育林下食用菌7500亩，种植林下蔬菜3000亩，林下养殖家畜30000头，禽类500000羽，驯养繁殖禽类80000羽，大幅提升林下产业经济收入。</w:t>
      </w:r>
    </w:p>
    <w:p>
      <w:pPr>
        <w:pStyle w:val="6"/>
        <w:rPr>
          <w:color w:val="auto"/>
          <w:highlight w:val="none"/>
        </w:rPr>
      </w:pPr>
      <w:bookmarkStart w:id="9" w:name="_Toc66368019"/>
      <w:r>
        <w:rPr>
          <w:rFonts w:hint="eastAsia"/>
          <w:color w:val="auto"/>
          <w:highlight w:val="none"/>
        </w:rPr>
        <w:t>二、水生态环境治理有效，</w:t>
      </w:r>
      <w:bookmarkEnd w:id="9"/>
      <w:r>
        <w:rPr>
          <w:rFonts w:hint="eastAsia"/>
          <w:color w:val="auto"/>
          <w:highlight w:val="none"/>
        </w:rPr>
        <w:t>污染防治工作成效显著</w:t>
      </w:r>
    </w:p>
    <w:p>
      <w:pPr>
        <w:ind w:firstLine="640"/>
        <w:rPr>
          <w:color w:val="auto"/>
          <w:highlight w:val="none"/>
        </w:rPr>
      </w:pPr>
      <w:r>
        <w:rPr>
          <w:rFonts w:hint="eastAsia"/>
          <w:color w:val="auto"/>
          <w:highlight w:val="none"/>
        </w:rPr>
        <w:t>“十三五”时期，以河长制工作为引领，加强水生态系统修复和水生态环境保护。将全面实行河长制作为政治任务，健全工作机制、积极谋划，按照山水林田湖生命共同体的生态理念，创新水污染综合防治新机制，强化源头控制、水陆统筹、河湖联动，深入推进“清河行动”和河湖“清四乱”专项行动，开展了临河工矿企业及工业聚集区水污染专项整治、畜禽养殖污染整治、农村河道生活垃圾专项治理、禁止河道采砂、非法侵占河岸线、非法设置排污口、水库水环境整治等集中整治活动，成功消灭劣Ｖ类水，境内河段水质和生态环境明显提升，</w:t>
      </w:r>
      <w:r>
        <w:rPr>
          <w:rFonts w:hint="eastAsia"/>
          <w:color w:val="auto"/>
          <w:highlight w:val="none"/>
          <w:lang w:val="en-US" w:eastAsia="zh-CN"/>
        </w:rPr>
        <w:t>地表水水质达到</w:t>
      </w:r>
      <w:r>
        <w:rPr>
          <w:rFonts w:hint="eastAsia"/>
          <w:color w:val="auto"/>
          <w:highlight w:val="none"/>
        </w:rPr>
        <w:t>Ⅲ类</w:t>
      </w:r>
      <w:r>
        <w:rPr>
          <w:rFonts w:hint="eastAsia"/>
          <w:color w:val="auto"/>
          <w:highlight w:val="none"/>
          <w:lang w:val="en-US" w:eastAsia="zh-CN"/>
        </w:rPr>
        <w:t>水</w:t>
      </w:r>
      <w:r>
        <w:rPr>
          <w:rFonts w:hint="eastAsia"/>
          <w:color w:val="auto"/>
          <w:highlight w:val="none"/>
        </w:rPr>
        <w:t>水平。强化入河排污口监督管理。对新建、改建和扩大入河排污口的进行科学论证，对排污量已超出水功能区限制排污总量的区域，严格限制审批新增取水量和入河排污口。2018年4月份以来，桃江河出境断面氨氮浓度持续下降</w:t>
      </w:r>
      <w:r>
        <w:rPr>
          <w:rFonts w:hint="eastAsia"/>
          <w:color w:val="auto"/>
          <w:highlight w:val="none"/>
          <w:lang w:eastAsia="zh-CN"/>
        </w:rPr>
        <w:t>，</w:t>
      </w:r>
      <w:r>
        <w:rPr>
          <w:rFonts w:hint="eastAsia"/>
          <w:color w:val="auto"/>
          <w:highlight w:val="none"/>
        </w:rPr>
        <w:t>水质达到或优于Ⅴ类水标准，达标率100%，成功甩掉了戴了10余年之久的劣Ⅴ类水帽子；2018年8月，江西省环保厅解除了针对龙南市断面水质超标的区域限批。桃江水质持续改善，消灭劣Ⅴ类水成效不断巩固。2个城镇集中式饮用水源地水质常年保持在Ⅱ类或者Ⅱ类以上标准，达标率为100%。稀土尾水处理能力占全市总处理能力2/3的黄沙处理站已投入运营，为解决长期以来存在的稀土矿区地表水氨氮超标问题，消灭出境断面劣Ⅴ类水问题提供了可靠的工程保障。</w:t>
      </w:r>
    </w:p>
    <w:p>
      <w:pPr>
        <w:pStyle w:val="6"/>
        <w:rPr>
          <w:color w:val="auto"/>
          <w:highlight w:val="none"/>
        </w:rPr>
      </w:pPr>
      <w:r>
        <w:rPr>
          <w:rFonts w:hint="eastAsia"/>
          <w:color w:val="auto"/>
          <w:highlight w:val="none"/>
        </w:rPr>
        <w:t>三、坚定绿色惠民生态利民，环境质量稳步提升</w:t>
      </w:r>
    </w:p>
    <w:p>
      <w:pPr>
        <w:ind w:firstLine="640"/>
        <w:rPr>
          <w:color w:val="auto"/>
          <w:highlight w:val="none"/>
        </w:rPr>
      </w:pPr>
      <w:r>
        <w:rPr>
          <w:rFonts w:hint="eastAsia"/>
          <w:color w:val="auto"/>
          <w:highlight w:val="none"/>
        </w:rPr>
        <w:t>“十三五”期间，规划的19项生态环境保护指标全面达成。2020年，龙南中心城区细颗粒物（PM</w:t>
      </w:r>
      <w:r>
        <w:rPr>
          <w:rFonts w:hint="eastAsia"/>
          <w:color w:val="auto"/>
          <w:highlight w:val="none"/>
          <w:vertAlign w:val="subscript"/>
        </w:rPr>
        <w:t>2.5</w:t>
      </w:r>
      <w:r>
        <w:rPr>
          <w:rFonts w:hint="eastAsia"/>
          <w:color w:val="auto"/>
          <w:highlight w:val="none"/>
        </w:rPr>
        <w:t>）</w:t>
      </w:r>
      <w:r>
        <w:rPr>
          <w:rFonts w:hint="eastAsia"/>
          <w:color w:val="auto"/>
          <w:highlight w:val="none"/>
          <w:lang w:val="en-US" w:eastAsia="zh-CN"/>
        </w:rPr>
        <w:t>全年</w:t>
      </w:r>
      <w:r>
        <w:rPr>
          <w:rFonts w:hint="eastAsia"/>
          <w:color w:val="auto"/>
          <w:highlight w:val="none"/>
        </w:rPr>
        <w:t>平均浓度为2</w:t>
      </w:r>
      <w:r>
        <w:rPr>
          <w:rFonts w:hint="eastAsia"/>
          <w:color w:val="auto"/>
          <w:highlight w:val="none"/>
          <w:lang w:val="en-US" w:eastAsia="zh-CN"/>
        </w:rPr>
        <w:t>2</w:t>
      </w:r>
      <w:r>
        <w:rPr>
          <w:rFonts w:hint="eastAsia"/>
          <w:color w:val="auto"/>
          <w:highlight w:val="none"/>
        </w:rPr>
        <w:t>微克/立方米</w:t>
      </w:r>
      <w:r>
        <w:rPr>
          <w:rFonts w:hint="eastAsia"/>
          <w:color w:val="auto"/>
          <w:highlight w:val="none"/>
          <w:lang w:eastAsia="zh-CN"/>
        </w:rPr>
        <w:t>，</w:t>
      </w:r>
      <w:r>
        <w:rPr>
          <w:rFonts w:hint="eastAsia"/>
          <w:color w:val="auto"/>
          <w:highlight w:val="none"/>
        </w:rPr>
        <w:t>空气优良天数比例为9</w:t>
      </w:r>
      <w:r>
        <w:rPr>
          <w:rFonts w:hint="eastAsia"/>
          <w:color w:val="auto"/>
          <w:highlight w:val="none"/>
          <w:lang w:val="en-US" w:eastAsia="zh-CN"/>
        </w:rPr>
        <w:t>6.2</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空气质量</w:t>
      </w:r>
      <w:r>
        <w:rPr>
          <w:rFonts w:hint="eastAsia"/>
          <w:color w:val="auto"/>
          <w:highlight w:val="none"/>
        </w:rPr>
        <w:t>达到国家二级标准。全市13个地表水国家考核水质优良率为100%，中心城区区域环境噪声总体达到《声环境质量标准》（GB3096-2008）2类声环境功能区标。全市通过排污总量控制、挖掘减排项目、强化企业督查等举措，推进主要污染物总量减排工作</w:t>
      </w:r>
      <w:r>
        <w:rPr>
          <w:rFonts w:hint="eastAsia"/>
          <w:color w:val="auto"/>
          <w:highlight w:val="none"/>
          <w:lang w:eastAsia="zh-CN"/>
        </w:rPr>
        <w:t>，</w:t>
      </w:r>
      <w:r>
        <w:rPr>
          <w:rFonts w:hint="eastAsia"/>
          <w:color w:val="auto"/>
          <w:highlight w:val="none"/>
        </w:rPr>
        <w:t>为新上项目特别是重大项目建设腾出环境容量。完成生态保护红线校核调整完善及确认上报工作，生态保护红线面积占国土面积的比例位居全省前列，41个行政村被命名为省级、市级生态村，为创建全省生态文明先行示范区奠定了良好基础。</w:t>
      </w:r>
    </w:p>
    <w:p>
      <w:pPr>
        <w:pStyle w:val="6"/>
        <w:rPr>
          <w:color w:val="auto"/>
          <w:highlight w:val="none"/>
        </w:rPr>
      </w:pPr>
      <w:bookmarkStart w:id="10" w:name="_Toc66368021"/>
      <w:r>
        <w:rPr>
          <w:rFonts w:hint="eastAsia"/>
          <w:color w:val="auto"/>
          <w:highlight w:val="none"/>
        </w:rPr>
        <w:t>四、加大矿山治理力度，矿山环境修复</w:t>
      </w:r>
      <w:bookmarkEnd w:id="10"/>
      <w:r>
        <w:rPr>
          <w:rFonts w:hint="eastAsia"/>
          <w:color w:val="auto"/>
          <w:highlight w:val="none"/>
        </w:rPr>
        <w:t>成效显著</w:t>
      </w:r>
    </w:p>
    <w:p>
      <w:pPr>
        <w:ind w:firstLine="640"/>
        <w:rPr>
          <w:color w:val="auto"/>
          <w:highlight w:val="none"/>
        </w:rPr>
      </w:pPr>
      <w:r>
        <w:rPr>
          <w:rFonts w:hint="eastAsia"/>
          <w:color w:val="auto"/>
          <w:highlight w:val="none"/>
        </w:rPr>
        <w:t>龙南市对各个地区废弃露天矿山进行生态修复工作。对自然资源部下发的废弃露天矿山图斑进行了详细核查，全面摸清全市范围内废弃矿山的位置、范围、现状等情况，建立废弃露天矿山生态修复工作台账。以县（市、区）为单元制定生态修复实施方案，实施精准治理，按照“一矿一策”进行设计，逐一明确责任主体、治理任务、治理时限。十三五期间，废弃稀土矿山治理，总投资约2.91亿元，治理修复面积8.84平方公里，复绿7.82平方公里。黄沙、关西等5个稀土尾水收集处理站全部建成并投入运营，39个稀土废弃矿山车间全部拆除，足洞废弃稀土矿山蓝莓实验种植取得成功，境内废弃稀土矿山得到治理，解决了近半个世纪以来的遗留问题。</w:t>
      </w:r>
    </w:p>
    <w:p>
      <w:pPr>
        <w:pStyle w:val="6"/>
        <w:rPr>
          <w:color w:val="auto"/>
          <w:highlight w:val="none"/>
        </w:rPr>
      </w:pPr>
      <w:r>
        <w:rPr>
          <w:rFonts w:hint="eastAsia"/>
          <w:color w:val="auto"/>
          <w:highlight w:val="none"/>
        </w:rPr>
        <w:t>五、</w:t>
      </w:r>
      <w:r>
        <w:rPr>
          <w:rFonts w:hint="eastAsia"/>
          <w:color w:val="auto"/>
          <w:highlight w:val="none"/>
          <w:lang w:val="en-US" w:eastAsia="zh-CN"/>
        </w:rPr>
        <w:t>农田</w:t>
      </w:r>
      <w:r>
        <w:rPr>
          <w:rFonts w:hint="eastAsia"/>
          <w:color w:val="auto"/>
          <w:highlight w:val="none"/>
        </w:rPr>
        <w:t>生态修复持续推进、发展基础不断夯实</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color w:val="auto"/>
          <w:highlight w:val="none"/>
        </w:rPr>
      </w:pPr>
      <w:r>
        <w:rPr>
          <w:rFonts w:hint="eastAsia" w:ascii="Times New Roman" w:hAnsi="Times New Roman" w:eastAsia="仿宋_GB2312" w:cs="Times New Roman"/>
          <w:color w:val="auto"/>
          <w:sz w:val="32"/>
          <w:szCs w:val="28"/>
          <w:highlight w:val="none"/>
          <w:lang w:val="en-US" w:eastAsia="zh-CN"/>
        </w:rPr>
        <w:t>通过开展高标准农田建设、城乡建设用地增减挂钩、城镇低效用地再开发、工矿废弃地复垦利用等一系列国土整治工作，</w:t>
      </w:r>
      <w:r>
        <w:rPr>
          <w:rFonts w:hint="eastAsia" w:eastAsia="仿宋_GB2312" w:cs="Times New Roman"/>
          <w:color w:val="auto"/>
          <w:sz w:val="32"/>
          <w:szCs w:val="28"/>
          <w:highlight w:val="none"/>
          <w:lang w:val="en-US" w:eastAsia="zh-CN"/>
        </w:rPr>
        <w:t>全市</w:t>
      </w:r>
      <w:r>
        <w:rPr>
          <w:rFonts w:hint="eastAsia" w:ascii="Times New Roman" w:hAnsi="Times New Roman" w:eastAsia="仿宋_GB2312" w:cs="Times New Roman"/>
          <w:color w:val="auto"/>
          <w:sz w:val="32"/>
          <w:szCs w:val="28"/>
          <w:highlight w:val="none"/>
          <w:lang w:val="en-US" w:eastAsia="zh-CN"/>
        </w:rPr>
        <w:t>耕地保有量和基本农田保护面积稳步增长，节约集约用地水平进一步提高，农业发展基础不断夯实。“十三五”期间，龙南市建成高标准农田8.6万亩；至“十三五”期末，全市耕地保有量达18.46万亩，基本农田保护面积达10.6万亩。</w:t>
      </w:r>
    </w:p>
    <w:p>
      <w:pPr>
        <w:pStyle w:val="6"/>
        <w:rPr>
          <w:color w:val="auto"/>
          <w:highlight w:val="none"/>
        </w:rPr>
      </w:pPr>
      <w:r>
        <w:rPr>
          <w:rFonts w:hint="eastAsia"/>
          <w:color w:val="auto"/>
          <w:highlight w:val="none"/>
        </w:rPr>
        <w:t>六、水土流失防治日臻完善，水土保持综合治理硕果累累</w:t>
      </w:r>
    </w:p>
    <w:p>
      <w:pPr>
        <w:ind w:firstLine="640"/>
        <w:rPr>
          <w:color w:val="auto"/>
          <w:highlight w:val="none"/>
        </w:rPr>
      </w:pPr>
      <w:r>
        <w:rPr>
          <w:rFonts w:hint="eastAsia"/>
          <w:color w:val="auto"/>
          <w:highlight w:val="none"/>
        </w:rPr>
        <w:t>近年来，随着水土流失关注度的不断提高与国家治理资金的大力投入，龙南市聚焦市内水土流失问题，增强水土流失治理力度，在大量的实践中积累了许多行之有效的修复治理经验，在全域水土流失治理工作上做出了卓著成效，2016年以来，累计治理水土流失面积96.8平方公里、治理崩岗50座，2018年7月龙南市荣膺江西省“鄱阳杯”水利建设先进单位。关于水土保持综合治理，十三五期间龙南市的水土保持工作进入了一个全面快速发展时期，水土流失治理工作涌现出一批具有龙南特色的水土保持示范工程：市级水土保持生态示范园已在黄沙畲族挂牌、正桂已打造为省级水生态文明村、临塘小流域已打造为省级“生态文明清洁型小流域”、2018年2月虔心小镇成功创建国家级水土保持科技示范园等，围绕水土保持科技示范园建设，不断提高水土流失综合治理水平，不断探索生态效益向经济效益转化的内在动力机制。产生了良好的生态效益和社会效益，有力地推动了全市水土保持与生态建设。针对小流域综合治理，龙南市采取综合施用工程措施、生物措施与生态自然修复措施，统筹兼顾生态与经济共同发展的修复治理思路充分发挥山地条件，成功打造了“一户一山窝”的开发治理模式，通过综合立体规划，目前多条小流域生态环境已得到了极大改善；针对崩岗治理，</w:t>
      </w:r>
      <w:r>
        <w:rPr>
          <w:rFonts w:hint="eastAsia"/>
          <w:color w:val="auto"/>
          <w:highlight w:val="none"/>
          <w:lang w:eastAsia="zh-CN"/>
        </w:rPr>
        <w:t>全市</w:t>
      </w:r>
      <w:r>
        <w:rPr>
          <w:rFonts w:hint="eastAsia"/>
          <w:color w:val="auto"/>
          <w:highlight w:val="none"/>
        </w:rPr>
        <w:t>在坚持以小流域为单元的水保综合治理过程中，注重崩岗的综合治理，通过长期的治理实践，明确“三变”治理思路，并配套“上截、中削、下堵、内外绿化”的崩岗立体综合治理模式，有效促进生态效益与经济的良性循环发展。</w:t>
      </w:r>
    </w:p>
    <w:p>
      <w:pPr>
        <w:pStyle w:val="5"/>
        <w:rPr>
          <w:color w:val="auto"/>
          <w:highlight w:val="none"/>
        </w:rPr>
      </w:pPr>
      <w:bookmarkStart w:id="11" w:name="_Toc20717"/>
      <w:bookmarkStart w:id="12" w:name="_Toc27686"/>
      <w:r>
        <w:rPr>
          <w:rFonts w:hint="eastAsia"/>
          <w:color w:val="auto"/>
          <w:highlight w:val="none"/>
        </w:rPr>
        <w:t>第三节 机遇与挑战</w:t>
      </w:r>
      <w:bookmarkEnd w:id="11"/>
      <w:bookmarkEnd w:id="12"/>
    </w:p>
    <w:p>
      <w:pPr>
        <w:pStyle w:val="6"/>
        <w:rPr>
          <w:color w:val="auto"/>
          <w:highlight w:val="none"/>
        </w:rPr>
      </w:pPr>
      <w:r>
        <w:rPr>
          <w:rFonts w:hint="eastAsia"/>
          <w:color w:val="auto"/>
          <w:highlight w:val="none"/>
        </w:rPr>
        <w:t>一、机遇</w:t>
      </w:r>
    </w:p>
    <w:p>
      <w:pPr>
        <w:ind w:firstLine="640"/>
        <w:rPr>
          <w:color w:val="auto"/>
          <w:highlight w:val="none"/>
        </w:rPr>
      </w:pPr>
      <w:r>
        <w:rPr>
          <w:rFonts w:hint="eastAsia"/>
          <w:color w:val="auto"/>
          <w:highlight w:val="none"/>
        </w:rPr>
        <w:t>（一）2016年9月，财政部、原国土资源部、原环保部联合印发《关于推进山水林田湖草生态保护修复工作的通知》，提出加快推进山水林田湖草生态保护修复工作，中央财政将对典型重要山水林田湖草生态保护修复工程给予奖补。</w:t>
      </w:r>
    </w:p>
    <w:p>
      <w:pPr>
        <w:ind w:firstLine="640"/>
        <w:rPr>
          <w:color w:val="auto"/>
          <w:highlight w:val="none"/>
        </w:rPr>
      </w:pPr>
      <w:r>
        <w:rPr>
          <w:rFonts w:hint="eastAsia"/>
          <w:color w:val="auto"/>
          <w:highlight w:val="none"/>
        </w:rPr>
        <w:t>（二）国土空间生态修复已上升为国家发展战略高度，政策与资金扶持力度将不断加大。在国土空间生态修复成为生态文明建设的重大举措的新时期下，江西省作为国家批准的三个生态文明示范省，对生态保护与保复工作也提上了前所未有的高度，并成立了江西省生态环境委员会，统筹谋划领导全省生态保护与修复工作。</w:t>
      </w:r>
    </w:p>
    <w:p>
      <w:pPr>
        <w:ind w:firstLine="640"/>
        <w:rPr>
          <w:color w:val="auto"/>
          <w:highlight w:val="none"/>
        </w:rPr>
      </w:pPr>
      <w:r>
        <w:rPr>
          <w:rFonts w:hint="eastAsia"/>
          <w:color w:val="auto"/>
          <w:highlight w:val="none"/>
        </w:rPr>
        <w:t>（三）“十四五”是实现“两个一百年”奋斗目标的历史交汇期，是龙南市转型发展、创新发展的重要时期，是全面实现小康迈向现代化征程的关键时期。扎实开展国土空间生态修复分区研究，编制科学有效的国土空间生态修复规划，是加快国土空间生态修复、提升国土空间承载能力、构建国土空间生态安全格局的迫切时代需求和重要保障，对促进人与自然和谐共生、推进生态文明和美丽中国建设具有重要的理论和现实意义。</w:t>
      </w:r>
    </w:p>
    <w:p>
      <w:pPr>
        <w:pStyle w:val="6"/>
        <w:rPr>
          <w:color w:val="auto"/>
          <w:highlight w:val="none"/>
        </w:rPr>
      </w:pPr>
      <w:r>
        <w:rPr>
          <w:rFonts w:hint="eastAsia"/>
          <w:color w:val="auto"/>
          <w:highlight w:val="none"/>
        </w:rPr>
        <w:t>二、挑战</w:t>
      </w:r>
    </w:p>
    <w:p>
      <w:pPr>
        <w:ind w:firstLine="640"/>
        <w:rPr>
          <w:color w:val="auto"/>
          <w:highlight w:val="none"/>
        </w:rPr>
      </w:pPr>
      <w:r>
        <w:rPr>
          <w:rFonts w:hint="eastAsia"/>
          <w:color w:val="auto"/>
          <w:highlight w:val="none"/>
        </w:rPr>
        <w:t>（一）“十四五”是龙南市由全面建成小康社会向基本实现社会主义现代化迈进的关键时期，资源环境约束加剧矛盾凸显。当前，龙南市生态文明建设正处于关键期、攻坚期、窗口期，生态环境所面临的形势与任务不容乐观，推进国家生态文明试验区建设还有许多短板亟待解决，任务繁重、挑战巨大。</w:t>
      </w:r>
    </w:p>
    <w:p>
      <w:pPr>
        <w:ind w:firstLine="640"/>
        <w:rPr>
          <w:color w:val="auto"/>
          <w:highlight w:val="none"/>
        </w:rPr>
      </w:pPr>
      <w:r>
        <w:rPr>
          <w:rFonts w:hint="eastAsia"/>
          <w:color w:val="auto"/>
          <w:highlight w:val="none"/>
        </w:rPr>
        <w:t>（二）龙南市生态环境状况总体良好，自然资源丰富，但同时生态要素的质量总体不高，生态效益不够明显，还存在较大的优化空间。受历史上长期以来高强度的国土开发建设、矿产资源不合理利用等因素影响，一些生态系统退化较为严重，部分关系生态安全格局的核心区域在不同程度上受到影响和破坏，核心生态要素质量不高，山水林田湖草生命共同体系统功能较低，提供生态产品的能力不强。同时，生态、农业、城镇空间所承载的压力不断增大，发展和保护面临一系列新的问题和挑战。</w:t>
      </w:r>
    </w:p>
    <w:p>
      <w:pPr>
        <w:ind w:firstLine="640"/>
        <w:rPr>
          <w:color w:val="auto"/>
          <w:highlight w:val="none"/>
        </w:rPr>
      </w:pPr>
      <w:r>
        <w:rPr>
          <w:rFonts w:hint="eastAsia"/>
          <w:color w:val="auto"/>
          <w:highlight w:val="none"/>
        </w:rPr>
        <w:t>（三）经济发展与生态保护矛盾比较尖锐。龙南市正处工业化、城镇化加速发展阶段，经济增长速度、经济结构、增长方式和增长动力将发生深刻变化，主要污染物新增量消化任务重、困难大，交通、农业和居民生活污染问题随着经济发展逐渐凸显，环境质量持续改善基础仍较脆弱，面临着既要加快发展又要保护生态的双重压力，既要扩大经济总量又要提升环境质量的双重任务，既要勇于变革又要防范风险的双重挑战。</w:t>
      </w:r>
    </w:p>
    <w:p>
      <w:pPr>
        <w:ind w:firstLine="640"/>
        <w:rPr>
          <w:color w:val="auto"/>
          <w:highlight w:val="none"/>
        </w:rPr>
      </w:pPr>
      <w:r>
        <w:rPr>
          <w:rFonts w:hint="eastAsia"/>
          <w:color w:val="auto"/>
          <w:highlight w:val="none"/>
        </w:rPr>
        <w:t>（四）新时代对生态环境有更高要求。生态问题既是重大经济问题，也是重大社会和政治问题，更是与人民群众的生活息息相关的民生问题，只有坚持生态惠民、生态利民、生态为民，才能有效解决生态环境问题。进入新时代，随着社会主要矛盾的转化，人们对解决生态问题要求更强烈、期望值更高，渴望从“生存性需求”向“发展性需求”升级，渴望“更好存在”和“更好活着”的生态文明，已经步入提供更多优质生态产品以满足人民日益增长的优美生态环境需要的攻坚阶段。因此，必须贯彻山水林田湖草生命共同体理念，加快推进生态保护修复，实施重要生态系统保护和修复重大工程，优化生态安全屏障体系，构建生态廊道和生物多样性保护网络，提升生态系统质量和稳定性。</w:t>
      </w:r>
      <w:r>
        <w:rPr>
          <w:rFonts w:hint="eastAsia"/>
          <w:color w:val="auto"/>
          <w:highlight w:val="none"/>
        </w:rPr>
        <w:br w:type="page"/>
      </w:r>
    </w:p>
    <w:p>
      <w:pPr>
        <w:pStyle w:val="4"/>
        <w:rPr>
          <w:color w:val="auto"/>
          <w:highlight w:val="none"/>
        </w:rPr>
      </w:pPr>
      <w:bookmarkStart w:id="13" w:name="_Toc23570"/>
      <w:bookmarkStart w:id="14" w:name="_Toc25055"/>
      <w:r>
        <w:rPr>
          <w:rFonts w:hint="eastAsia"/>
          <w:color w:val="auto"/>
          <w:highlight w:val="none"/>
        </w:rPr>
        <w:t>第二章 生态现状与主要问题</w:t>
      </w:r>
      <w:bookmarkEnd w:id="13"/>
      <w:bookmarkEnd w:id="14"/>
    </w:p>
    <w:p>
      <w:pPr>
        <w:ind w:firstLine="640"/>
        <w:rPr>
          <w:color w:val="auto"/>
          <w:highlight w:val="none"/>
        </w:rPr>
      </w:pPr>
    </w:p>
    <w:p>
      <w:pPr>
        <w:pStyle w:val="5"/>
        <w:rPr>
          <w:color w:val="auto"/>
          <w:highlight w:val="none"/>
        </w:rPr>
      </w:pPr>
      <w:bookmarkStart w:id="15" w:name="_Toc30282"/>
      <w:bookmarkStart w:id="16" w:name="_Toc4533"/>
      <w:r>
        <w:rPr>
          <w:rFonts w:hint="eastAsia"/>
          <w:color w:val="auto"/>
          <w:highlight w:val="none"/>
        </w:rPr>
        <w:t>第一节 自然地理和生态现状</w:t>
      </w:r>
      <w:bookmarkEnd w:id="15"/>
      <w:bookmarkEnd w:id="16"/>
    </w:p>
    <w:p>
      <w:pPr>
        <w:pStyle w:val="6"/>
        <w:rPr>
          <w:color w:val="auto"/>
          <w:highlight w:val="none"/>
        </w:rPr>
      </w:pPr>
      <w:r>
        <w:rPr>
          <w:rFonts w:hint="eastAsia"/>
          <w:color w:val="auto"/>
          <w:highlight w:val="none"/>
        </w:rPr>
        <w:t>一、自然地理状况</w:t>
      </w:r>
    </w:p>
    <w:p>
      <w:pPr>
        <w:ind w:firstLine="640"/>
        <w:rPr>
          <w:color w:val="auto"/>
          <w:highlight w:val="none"/>
        </w:rPr>
      </w:pPr>
      <w:r>
        <w:rPr>
          <w:rFonts w:hint="eastAsia"/>
          <w:color w:val="auto"/>
          <w:highlight w:val="none"/>
        </w:rPr>
        <w:t>（一）地理区位</w:t>
      </w:r>
    </w:p>
    <w:p>
      <w:pPr>
        <w:ind w:firstLine="640"/>
        <w:rPr>
          <w:color w:val="auto"/>
          <w:highlight w:val="none"/>
        </w:rPr>
      </w:pPr>
      <w:r>
        <w:rPr>
          <w:rFonts w:hint="eastAsia"/>
          <w:color w:val="auto"/>
          <w:highlight w:val="none"/>
        </w:rPr>
        <w:t>龙南市位于江西省南部边缘，是江西省通往广东的南大门。县境东界定南县，南邻广东省连平县，西南毗邻广东省翁源县，西与全南县相接，北靠信丰县。县东西境宽55.5公里，南北境长60公里</w:t>
      </w:r>
      <w:r>
        <w:rPr>
          <w:rFonts w:hint="eastAsia"/>
          <w:color w:val="auto"/>
          <w:highlight w:val="none"/>
          <w:lang w:eastAsia="zh-CN"/>
        </w:rPr>
        <w:t>，</w:t>
      </w:r>
      <w:r>
        <w:rPr>
          <w:rFonts w:hint="eastAsia"/>
          <w:color w:val="auto"/>
          <w:highlight w:val="none"/>
          <w:lang w:val="en-US" w:eastAsia="zh-CN"/>
        </w:rPr>
        <w:t>国土</w:t>
      </w:r>
      <w:r>
        <w:rPr>
          <w:rFonts w:hint="eastAsia" w:ascii="Times New Roman" w:hAnsi="Times New Roman" w:eastAsia="仿宋_GB2312" w:cs="Times New Roman"/>
          <w:color w:val="auto"/>
          <w:kern w:val="0"/>
          <w:sz w:val="32"/>
          <w:szCs w:val="32"/>
          <w:highlight w:val="none"/>
          <w:lang w:val="en-US" w:eastAsia="zh-CN"/>
        </w:rPr>
        <w:t>总面积为1646平方公里。</w:t>
      </w:r>
      <w:r>
        <w:rPr>
          <w:rFonts w:hint="eastAsia"/>
          <w:color w:val="auto"/>
          <w:highlight w:val="none"/>
        </w:rPr>
        <w:t>全境跨东经114°23′～114°59′，北纬24°29′～25°01′。</w:t>
      </w:r>
    </w:p>
    <w:p>
      <w:pPr>
        <w:ind w:firstLine="640"/>
        <w:rPr>
          <w:color w:val="auto"/>
          <w:highlight w:val="none"/>
        </w:rPr>
      </w:pPr>
      <w:r>
        <w:rPr>
          <w:rFonts w:hint="eastAsia"/>
          <w:color w:val="auto"/>
          <w:highlight w:val="none"/>
        </w:rPr>
        <w:t>龙南市的区位优势明显，地处江西省最南端，是江西省通向广东的南大门，</w:t>
      </w:r>
      <w:r>
        <w:rPr>
          <w:rFonts w:hint="eastAsia"/>
          <w:color w:val="auto"/>
          <w:highlight w:val="none"/>
          <w:lang w:val="en-US" w:eastAsia="zh-CN"/>
        </w:rPr>
        <w:t>是赣州市南部副中心、</w:t>
      </w:r>
      <w:r>
        <w:rPr>
          <w:rFonts w:hint="eastAsia"/>
          <w:color w:val="auto"/>
          <w:highlight w:val="none"/>
        </w:rPr>
        <w:t>三南的区域中心，处于定南、全南、寻乌、安远的对外窗口位置。105国道、赣粤高速、京九铁路及大广高速贯穿全境，是三南的交通枢纽，京九铁路贯穿三个镇，并具有两个客货二用火车站。</w:t>
      </w:r>
    </w:p>
    <w:p>
      <w:pPr>
        <w:ind w:firstLine="640"/>
        <w:rPr>
          <w:color w:val="auto"/>
          <w:highlight w:val="none"/>
        </w:rPr>
      </w:pPr>
      <w:r>
        <w:rPr>
          <w:rFonts w:hint="eastAsia"/>
          <w:color w:val="auto"/>
          <w:highlight w:val="none"/>
        </w:rPr>
        <w:t>（二）地形地貌</w:t>
      </w:r>
    </w:p>
    <w:p>
      <w:pPr>
        <w:ind w:firstLine="640"/>
        <w:rPr>
          <w:rFonts w:hint="eastAsia" w:ascii="Times New Roman" w:hAnsi="Times New Roman" w:eastAsia="仿宋"/>
          <w:color w:val="auto"/>
          <w:highlight w:val="none"/>
          <w:lang w:val="en-US" w:eastAsia="zh-CN"/>
        </w:rPr>
      </w:pPr>
      <w:r>
        <w:rPr>
          <w:rFonts w:hint="eastAsia" w:ascii="Times New Roman" w:hAnsi="Times New Roman"/>
          <w:color w:val="auto"/>
          <w:highlight w:val="none"/>
        </w:rPr>
        <w:t>全市地势西南高东北低，</w:t>
      </w:r>
      <w:r>
        <w:rPr>
          <w:rFonts w:hint="default" w:ascii="Times New Roman" w:hAnsi="Times New Roman"/>
          <w:color w:val="auto"/>
          <w:highlight w:val="none"/>
          <w:lang w:val="en-US" w:eastAsia="zh-CN"/>
        </w:rPr>
        <w:t>最高峰</w:t>
      </w:r>
      <w:r>
        <w:rPr>
          <w:rFonts w:hint="eastAsia" w:ascii="Times New Roman" w:hAnsi="Times New Roman"/>
          <w:color w:val="auto"/>
          <w:highlight w:val="none"/>
          <w:lang w:val="en-US" w:eastAsia="zh-CN"/>
        </w:rPr>
        <w:t>位于</w:t>
      </w:r>
      <w:r>
        <w:rPr>
          <w:rFonts w:hint="default" w:ascii="Times New Roman" w:hAnsi="Times New Roman"/>
          <w:color w:val="auto"/>
          <w:highlight w:val="none"/>
          <w:lang w:val="en-US" w:eastAsia="zh-CN"/>
        </w:rPr>
        <w:t>西南部的九连山黄牛石</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海拔1430米</w:t>
      </w:r>
      <w:r>
        <w:rPr>
          <w:rFonts w:hint="eastAsia" w:ascii="Times New Roman" w:hAnsi="Times New Roman"/>
          <w:color w:val="auto"/>
          <w:highlight w:val="none"/>
          <w:lang w:val="en-US" w:eastAsia="zh-CN"/>
        </w:rPr>
        <w:t>，最低点位于</w:t>
      </w:r>
      <w:r>
        <w:rPr>
          <w:rFonts w:hint="default" w:ascii="Times New Roman" w:hAnsi="Times New Roman"/>
          <w:color w:val="auto"/>
          <w:highlight w:val="none"/>
          <w:lang w:val="en-US" w:eastAsia="zh-CN"/>
        </w:rPr>
        <w:t>桃江乡龙村坝</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海拔190米</w:t>
      </w:r>
      <w:r>
        <w:rPr>
          <w:rFonts w:hint="eastAsia" w:ascii="Times New Roman" w:hAnsi="Times New Roman"/>
          <w:color w:val="auto"/>
          <w:highlight w:val="none"/>
          <w:lang w:val="en-US" w:eastAsia="zh-CN"/>
        </w:rPr>
        <w:t>。</w:t>
      </w:r>
      <w:r>
        <w:rPr>
          <w:rFonts w:hint="eastAsia" w:ascii="Times New Roman" w:hAnsi="Times New Roman"/>
          <w:color w:val="auto"/>
          <w:highlight w:val="none"/>
        </w:rPr>
        <w:t>南部九连山群山连绵，西北部隆起，北部山峰屹立，形成中低山地形；在市区一带地势低平，四河水系在城北汇合北去，在四河沿岸形成河谷堆积地貌。在山地与平原过渡区内，为低缓丘陵地带。</w:t>
      </w:r>
      <w:r>
        <w:rPr>
          <w:rFonts w:hint="eastAsia"/>
          <w:color w:val="auto"/>
          <w:highlight w:val="none"/>
          <w:lang w:val="en-US" w:eastAsia="zh-CN"/>
        </w:rPr>
        <w:t>总体形成“两脉五河、南高北低、四河归一、合口平坦”的自然地理格局。</w:t>
      </w:r>
    </w:p>
    <w:p>
      <w:pPr>
        <w:ind w:firstLine="640"/>
        <w:rPr>
          <w:color w:val="auto"/>
          <w:highlight w:val="none"/>
        </w:rPr>
      </w:pPr>
      <w:r>
        <w:rPr>
          <w:rFonts w:hint="eastAsia"/>
          <w:color w:val="auto"/>
          <w:highlight w:val="none"/>
        </w:rPr>
        <w:t>（三）气候水文</w:t>
      </w:r>
    </w:p>
    <w:p>
      <w:pPr>
        <w:ind w:firstLine="640"/>
        <w:rPr>
          <w:color w:val="auto"/>
          <w:highlight w:val="none"/>
        </w:rPr>
      </w:pPr>
      <w:r>
        <w:rPr>
          <w:rFonts w:hint="eastAsia" w:ascii="仿宋" w:hAnsi="仿宋" w:eastAsia="仿宋" w:cs="仿宋"/>
          <w:color w:val="auto"/>
          <w:sz w:val="32"/>
          <w:szCs w:val="32"/>
          <w:highlight w:val="none"/>
        </w:rPr>
        <w:t>龙南市属中亚热带季风型温暖湿润气候，其特点是：气候温暖，雨量充沛，光、热丰富，无霜期长，夏长冬短，四季分明。</w:t>
      </w:r>
      <w:r>
        <w:rPr>
          <w:rFonts w:hint="eastAsia"/>
          <w:color w:val="auto"/>
          <w:highlight w:val="none"/>
        </w:rPr>
        <w:t>年平均气温为19.2℃，极端最低气温为-5.4℃，极端最高气温为39℃；年平均降水量为1506.6毫米，年平均蒸发量为1021.4毫米；年平均日照时数为1623.6小时，日照百分率为37%；年平均风速1.60米/秒，且四季变化不大，瞬时风速超过8级；年平均相对湿度为79%。</w:t>
      </w:r>
    </w:p>
    <w:p>
      <w:pPr>
        <w:ind w:firstLine="640"/>
        <w:rPr>
          <w:color w:val="auto"/>
          <w:highlight w:val="none"/>
        </w:rPr>
      </w:pPr>
      <w:r>
        <w:rPr>
          <w:rFonts w:hint="eastAsia"/>
          <w:color w:val="auto"/>
          <w:highlight w:val="none"/>
        </w:rPr>
        <w:t>龙南市水</w:t>
      </w:r>
      <w:r>
        <w:rPr>
          <w:rFonts w:hint="eastAsia"/>
          <w:color w:val="auto"/>
          <w:highlight w:val="none"/>
          <w:lang w:val="en-US" w:eastAsia="zh-CN"/>
        </w:rPr>
        <w:t>资源丰富</w:t>
      </w:r>
      <w:r>
        <w:rPr>
          <w:rFonts w:hint="eastAsia"/>
          <w:color w:val="auto"/>
          <w:highlight w:val="none"/>
        </w:rPr>
        <w:t>，河流密布，有大小河流630条，河流密度0.38条/平方公里。境内主要有桃江、濂江、渥江、洒江四条主要河流，总长150.7公里，桃江为境内最大河流，境内长53.6公里。</w:t>
      </w:r>
      <w:r>
        <w:rPr>
          <w:rFonts w:hint="eastAsia"/>
          <w:color w:val="auto"/>
          <w:highlight w:val="none"/>
          <w:lang w:eastAsia="zh-CN"/>
        </w:rPr>
        <w:t>全市</w:t>
      </w:r>
      <w:r>
        <w:rPr>
          <w:rFonts w:hint="eastAsia"/>
          <w:color w:val="auto"/>
          <w:highlight w:val="none"/>
        </w:rPr>
        <w:t>流域面积10平方公里以上的河流有55条，其中一级支流5条，二级、三级支流各18条，四级支流9条，支流总长730.5公里。</w:t>
      </w:r>
    </w:p>
    <w:p>
      <w:pPr>
        <w:ind w:firstLine="640"/>
        <w:rPr>
          <w:color w:val="auto"/>
          <w:highlight w:val="none"/>
        </w:rPr>
      </w:pPr>
      <w:r>
        <w:rPr>
          <w:rFonts w:hint="eastAsia"/>
          <w:color w:val="auto"/>
          <w:highlight w:val="none"/>
        </w:rPr>
        <w:t>水资源</w:t>
      </w:r>
      <w:r>
        <w:rPr>
          <w:rFonts w:hint="eastAsia"/>
          <w:color w:val="auto"/>
          <w:highlight w:val="none"/>
          <w:lang w:val="en-US" w:eastAsia="zh-CN"/>
        </w:rPr>
        <w:t>主要</w:t>
      </w:r>
      <w:r>
        <w:rPr>
          <w:rFonts w:hint="eastAsia"/>
          <w:color w:val="auto"/>
          <w:highlight w:val="none"/>
        </w:rPr>
        <w:t>由地表水和地下水组成，地表水年均径流量为23.0亿立米，其中</w:t>
      </w:r>
      <w:r>
        <w:rPr>
          <w:rFonts w:hint="eastAsia"/>
          <w:color w:val="auto"/>
          <w:highlight w:val="none"/>
          <w:lang w:val="en-US" w:eastAsia="zh-CN"/>
        </w:rPr>
        <w:t>龙南</w:t>
      </w:r>
      <w:r>
        <w:rPr>
          <w:rFonts w:hint="eastAsia"/>
          <w:color w:val="auto"/>
          <w:highlight w:val="none"/>
        </w:rPr>
        <w:t>产流量14.6亿立米，过境水8.4亿立米，年均径流深890毫米，属降雨补给型水资源。龙南市地表水径流时空分布极不均匀，全年4～9月径流量最大，占全年径流量的74.1％，其它月份较少。地下水资源大多分布在低丘盆地，主要为松散岩类孔隙水、裂隙溶洞水和基岩裂隙水三种类型。境内现有各类水库35座，其中：中型水库1座，小（一）型水库8座，小（二）型水库26座。</w:t>
      </w:r>
    </w:p>
    <w:p>
      <w:pPr>
        <w:ind w:firstLine="640"/>
        <w:rPr>
          <w:color w:val="auto"/>
          <w:highlight w:val="none"/>
        </w:rPr>
      </w:pPr>
      <w:r>
        <w:rPr>
          <w:rFonts w:hint="eastAsia"/>
          <w:color w:val="auto"/>
          <w:highlight w:val="none"/>
        </w:rPr>
        <w:t>（四）自然资源概况</w:t>
      </w:r>
    </w:p>
    <w:p>
      <w:pPr>
        <w:ind w:firstLine="640"/>
        <w:rPr>
          <w:color w:val="auto"/>
          <w:highlight w:val="none"/>
        </w:rPr>
      </w:pPr>
      <w:r>
        <w:rPr>
          <w:rFonts w:hint="eastAsia"/>
          <w:color w:val="auto"/>
          <w:highlight w:val="none"/>
        </w:rPr>
        <w:t>全市土地利用类型复杂多样。境内地带性土壤为红壤。</w:t>
      </w:r>
      <w:r>
        <w:rPr>
          <w:rFonts w:hint="eastAsia"/>
          <w:color w:val="auto"/>
          <w:highlight w:val="none"/>
          <w:lang w:eastAsia="zh-CN"/>
        </w:rPr>
        <w:t>全市</w:t>
      </w:r>
      <w:r>
        <w:rPr>
          <w:rFonts w:hint="eastAsia"/>
          <w:color w:val="auto"/>
          <w:highlight w:val="none"/>
        </w:rPr>
        <w:t>主要土壤类型有红壤、山地黄壤、水稻土、潮土、紫色土、石灰（岩）土、山地草甸土共7个土壤类型，分为13个亚类、48个土属、100个土种。全市水资源丰富，河流密布，大小河流有630条，河流密度0.38条/平方公里</w:t>
      </w:r>
      <w:r>
        <w:rPr>
          <w:rFonts w:hint="eastAsia"/>
          <w:color w:val="auto"/>
          <w:highlight w:val="none"/>
          <w:lang w:eastAsia="zh-CN"/>
        </w:rPr>
        <w:t>，</w:t>
      </w:r>
      <w:r>
        <w:rPr>
          <w:rFonts w:hint="eastAsia"/>
          <w:color w:val="auto"/>
          <w:highlight w:val="none"/>
        </w:rPr>
        <w:t>境内主要有桃江、濂江、渥江、洒江四条主要河流。全市已知矿种四十多种，其中十多种构成单体矿床</w:t>
      </w:r>
      <w:r>
        <w:rPr>
          <w:rFonts w:hint="eastAsia"/>
          <w:color w:val="auto"/>
          <w:highlight w:val="none"/>
          <w:lang w:eastAsia="zh-CN"/>
        </w:rPr>
        <w:t>，</w:t>
      </w:r>
      <w:r>
        <w:rPr>
          <w:rFonts w:hint="eastAsia"/>
          <w:color w:val="auto"/>
          <w:highlight w:val="none"/>
        </w:rPr>
        <w:t>主要有稀土、钨、煤、石灰石、大理石等等，其他矿床有铁、锡、钛、钴、硅、磷、耐火黏土、萤石、高岭土等，其中离子型重稀土储量占世界已探明储量的70%。境内森林资源丰富，植被属中亚热带常绿阔叶林带，植物有297科1112属2796种</w:t>
      </w:r>
      <w:r>
        <w:rPr>
          <w:rFonts w:hint="eastAsia"/>
          <w:color w:val="auto"/>
          <w:highlight w:val="none"/>
          <w:lang w:eastAsia="zh-CN"/>
        </w:rPr>
        <w:t>；</w:t>
      </w:r>
      <w:r>
        <w:rPr>
          <w:rFonts w:hint="eastAsia"/>
          <w:color w:val="auto"/>
          <w:highlight w:val="none"/>
        </w:rPr>
        <w:t>境内动物资源丰富，种类繁多</w:t>
      </w:r>
      <w:r>
        <w:rPr>
          <w:rFonts w:hint="eastAsia"/>
          <w:color w:val="auto"/>
          <w:highlight w:val="none"/>
          <w:lang w:eastAsia="zh-CN"/>
        </w:rPr>
        <w:t>，</w:t>
      </w:r>
      <w:r>
        <w:rPr>
          <w:rFonts w:hint="eastAsia"/>
          <w:color w:val="auto"/>
          <w:highlight w:val="none"/>
        </w:rPr>
        <w:t>境内有陆生脊椎动物25目81科300多种。城市园林绿化树种以常绿树种为主。</w:t>
      </w:r>
    </w:p>
    <w:p>
      <w:pPr>
        <w:ind w:firstLine="640"/>
        <w:rPr>
          <w:bCs/>
          <w:color w:val="auto"/>
          <w:sz w:val="30"/>
          <w:szCs w:val="30"/>
          <w:highlight w:val="none"/>
        </w:rPr>
      </w:pPr>
      <w:r>
        <w:rPr>
          <w:rFonts w:hint="eastAsia"/>
          <w:color w:val="auto"/>
          <w:highlight w:val="none"/>
        </w:rPr>
        <w:t>森林覆盖率82.20%，位居全省前列。境内旅游资源丰富，全市拥有3个国家4A级景区（关西围景区、南武当山景区、虔心小镇）、2个国家3A级景区，1个省5A级乡村旅游点，5个省4A级乡村旅游点，</w:t>
      </w:r>
      <w:r>
        <w:rPr>
          <w:rFonts w:hint="eastAsia"/>
          <w:color w:val="auto"/>
          <w:highlight w:val="none"/>
          <w:lang w:val="en-US" w:eastAsia="zh-CN"/>
        </w:rPr>
        <w:t>3</w:t>
      </w:r>
      <w:r>
        <w:rPr>
          <w:rFonts w:hint="eastAsia"/>
          <w:color w:val="auto"/>
          <w:highlight w:val="none"/>
        </w:rPr>
        <w:t>个省3A级乡村旅游点，1个省级旅游度假区，2个省级生态旅游示范区，1个省级工业旅游示范基地，1个省级风情旅游小镇，临塘东坑村入选全国首批乡村旅游重点村名录。</w:t>
      </w:r>
    </w:p>
    <w:p>
      <w:pPr>
        <w:pStyle w:val="6"/>
        <w:rPr>
          <w:color w:val="auto"/>
          <w:highlight w:val="none"/>
        </w:rPr>
      </w:pPr>
      <w:r>
        <w:rPr>
          <w:rFonts w:hint="eastAsia"/>
          <w:color w:val="auto"/>
          <w:highlight w:val="none"/>
        </w:rPr>
        <w:t>二、生态环境现状</w:t>
      </w:r>
    </w:p>
    <w:p>
      <w:pPr>
        <w:ind w:firstLine="640"/>
        <w:rPr>
          <w:color w:val="auto"/>
          <w:highlight w:val="none"/>
        </w:rPr>
      </w:pPr>
      <w:r>
        <w:rPr>
          <w:rFonts w:hint="eastAsia"/>
          <w:color w:val="auto"/>
          <w:highlight w:val="none"/>
        </w:rPr>
        <w:t>（一）空气质量状况</w:t>
      </w:r>
    </w:p>
    <w:p>
      <w:pPr>
        <w:ind w:firstLine="640"/>
        <w:rPr>
          <w:color w:val="auto"/>
          <w:highlight w:val="none"/>
        </w:rPr>
      </w:pPr>
      <w:r>
        <w:rPr>
          <w:rFonts w:hint="eastAsia"/>
          <w:color w:val="auto"/>
          <w:highlight w:val="none"/>
        </w:rPr>
        <w:t>龙南市环境监测站对全市大气环境监测点位开展每季度一次的监测，重点监测二氧化硫、二氧化氮、可吸入颗粒物等项目，监测结果表明，2020年，龙南中心城区细颗粒物（PM</w:t>
      </w:r>
      <w:r>
        <w:rPr>
          <w:rFonts w:hint="eastAsia"/>
          <w:color w:val="auto"/>
          <w:highlight w:val="none"/>
          <w:vertAlign w:val="subscript"/>
        </w:rPr>
        <w:t>2.5</w:t>
      </w:r>
      <w:r>
        <w:rPr>
          <w:rFonts w:hint="eastAsia"/>
          <w:color w:val="auto"/>
          <w:highlight w:val="none"/>
        </w:rPr>
        <w:t>）</w:t>
      </w:r>
      <w:r>
        <w:rPr>
          <w:rFonts w:hint="eastAsia"/>
          <w:color w:val="auto"/>
          <w:highlight w:val="none"/>
          <w:lang w:val="en-US" w:eastAsia="zh-CN"/>
        </w:rPr>
        <w:t>全年</w:t>
      </w:r>
      <w:r>
        <w:rPr>
          <w:rFonts w:hint="eastAsia"/>
          <w:color w:val="auto"/>
          <w:highlight w:val="none"/>
        </w:rPr>
        <w:t>平均浓度为2</w:t>
      </w:r>
      <w:r>
        <w:rPr>
          <w:rFonts w:hint="eastAsia"/>
          <w:color w:val="auto"/>
          <w:highlight w:val="none"/>
          <w:lang w:val="en-US" w:eastAsia="zh-CN"/>
        </w:rPr>
        <w:t>2</w:t>
      </w:r>
      <w:r>
        <w:rPr>
          <w:rFonts w:hint="eastAsia"/>
          <w:color w:val="auto"/>
          <w:highlight w:val="none"/>
        </w:rPr>
        <w:t>微克/立方米</w:t>
      </w:r>
      <w:r>
        <w:rPr>
          <w:rFonts w:hint="eastAsia"/>
          <w:color w:val="auto"/>
          <w:highlight w:val="none"/>
          <w:lang w:eastAsia="zh-CN"/>
        </w:rPr>
        <w:t>，</w:t>
      </w:r>
      <w:r>
        <w:rPr>
          <w:rFonts w:hint="eastAsia"/>
          <w:color w:val="auto"/>
          <w:highlight w:val="none"/>
        </w:rPr>
        <w:t>与去年同期相比下降</w:t>
      </w:r>
      <w:r>
        <w:rPr>
          <w:rFonts w:hint="eastAsia"/>
          <w:color w:val="auto"/>
          <w:highlight w:val="none"/>
          <w:lang w:val="en-US" w:eastAsia="zh-CN"/>
        </w:rPr>
        <w:t>8.3</w:t>
      </w:r>
      <w:r>
        <w:rPr>
          <w:rFonts w:hint="eastAsia"/>
          <w:color w:val="auto"/>
          <w:highlight w:val="none"/>
        </w:rPr>
        <w:t>%，空气优良天数比例为9</w:t>
      </w:r>
      <w:r>
        <w:rPr>
          <w:rFonts w:hint="eastAsia"/>
          <w:color w:val="auto"/>
          <w:highlight w:val="none"/>
          <w:lang w:val="en-US" w:eastAsia="zh-CN"/>
        </w:rPr>
        <w:t>6.2</w:t>
      </w:r>
      <w:r>
        <w:rPr>
          <w:rFonts w:hint="eastAsia"/>
          <w:color w:val="auto"/>
          <w:highlight w:val="none"/>
        </w:rPr>
        <w:t>%</w:t>
      </w:r>
      <w:r>
        <w:rPr>
          <w:rFonts w:hint="eastAsia"/>
          <w:color w:val="auto"/>
          <w:highlight w:val="none"/>
          <w:lang w:eastAsia="zh-CN"/>
        </w:rPr>
        <w:t>，</w:t>
      </w:r>
      <w:r>
        <w:rPr>
          <w:rFonts w:hint="eastAsia"/>
          <w:color w:val="auto"/>
          <w:highlight w:val="none"/>
        </w:rPr>
        <w:t>空气质量达到《环境空气质量标准》（GB3095-1996）二级标准，总体良好。</w:t>
      </w:r>
    </w:p>
    <w:p>
      <w:pPr>
        <w:ind w:firstLine="640"/>
        <w:rPr>
          <w:color w:val="auto"/>
          <w:highlight w:val="none"/>
        </w:rPr>
      </w:pPr>
      <w:r>
        <w:rPr>
          <w:rFonts w:hint="eastAsia"/>
          <w:color w:val="auto"/>
          <w:highlight w:val="none"/>
        </w:rPr>
        <w:t>（二）水资源质量状况</w:t>
      </w:r>
    </w:p>
    <w:p>
      <w:pPr>
        <w:ind w:firstLine="640"/>
        <w:rPr>
          <w:color w:val="auto"/>
          <w:highlight w:val="none"/>
        </w:rPr>
      </w:pPr>
      <w:r>
        <w:rPr>
          <w:rFonts w:hint="eastAsia"/>
          <w:color w:val="auto"/>
          <w:highlight w:val="none"/>
        </w:rPr>
        <w:t>龙南市境内河流主要有桃江、</w:t>
      </w:r>
      <w:r>
        <w:rPr>
          <w:rFonts w:hint="eastAsia"/>
          <w:color w:val="auto"/>
          <w:highlight w:val="none"/>
          <w:lang w:val="en-US" w:eastAsia="zh-CN"/>
        </w:rPr>
        <w:t>太平江、</w:t>
      </w:r>
      <w:r>
        <w:rPr>
          <w:rFonts w:hint="eastAsia"/>
          <w:color w:val="auto"/>
          <w:highlight w:val="none"/>
        </w:rPr>
        <w:t>渥江、濂江</w:t>
      </w:r>
      <w:r>
        <w:rPr>
          <w:rFonts w:hint="eastAsia"/>
          <w:color w:val="auto"/>
          <w:highlight w:val="none"/>
          <w:lang w:eastAsia="zh-CN"/>
        </w:rPr>
        <w:t>、</w:t>
      </w:r>
      <w:r>
        <w:rPr>
          <w:rFonts w:hint="eastAsia"/>
          <w:color w:val="auto"/>
          <w:highlight w:val="none"/>
          <w:lang w:val="en-US" w:eastAsia="zh-CN"/>
        </w:rPr>
        <w:t>洒江</w:t>
      </w:r>
      <w:r>
        <w:rPr>
          <w:rFonts w:hint="eastAsia"/>
          <w:color w:val="auto"/>
          <w:highlight w:val="none"/>
        </w:rPr>
        <w:t>，河流污染源主要是工业废水，城镇生活废水，以及农村农业畜禽养殖及种植污染源。</w:t>
      </w:r>
      <w:r>
        <w:rPr>
          <w:rFonts w:hint="eastAsia"/>
          <w:color w:val="auto"/>
          <w:highlight w:val="none"/>
          <w:lang w:eastAsia="zh-CN"/>
        </w:rPr>
        <w:t>“</w:t>
      </w:r>
      <w:r>
        <w:rPr>
          <w:rFonts w:hint="eastAsia"/>
          <w:color w:val="auto"/>
          <w:highlight w:val="none"/>
          <w:lang w:val="en-US" w:eastAsia="zh-CN"/>
        </w:rPr>
        <w:t>十三五”期间</w:t>
      </w:r>
      <w:r>
        <w:rPr>
          <w:rFonts w:hint="eastAsia"/>
          <w:color w:val="auto"/>
          <w:highlight w:val="none"/>
        </w:rPr>
        <w:t>，通过多项集中治理措施，重点河段水质改善成效明显</w:t>
      </w:r>
      <w:r>
        <w:rPr>
          <w:rFonts w:hint="eastAsia"/>
          <w:color w:val="auto"/>
          <w:highlight w:val="none"/>
          <w:lang w:eastAsia="zh-CN"/>
        </w:rPr>
        <w:t>，</w:t>
      </w:r>
      <w:r>
        <w:rPr>
          <w:rFonts w:hint="eastAsia"/>
          <w:color w:val="auto"/>
          <w:highlight w:val="none"/>
        </w:rPr>
        <w:t>2018年4月份以来，桃江河出境断面氨氮浓度持续下降，水质持续改善，出境断面水质达到Ⅲ类标准。</w:t>
      </w:r>
    </w:p>
    <w:p>
      <w:pPr>
        <w:ind w:firstLine="640"/>
        <w:rPr>
          <w:color w:val="auto"/>
          <w:highlight w:val="none"/>
        </w:rPr>
      </w:pPr>
      <w:r>
        <w:rPr>
          <w:rFonts w:hint="eastAsia"/>
          <w:color w:val="auto"/>
          <w:highlight w:val="none"/>
        </w:rPr>
        <w:t>龙南市2个城镇集中式饮用水源地水质常年保持在《地表水环境质量标准》（GB3838-2002）Ⅱ类或者Ⅱ类以上标准，达标率为100%。此外，规划的25个农村集中式饮用水水源检测结果均达到《地表水环境质量标准》（GB3838-2002）Ⅲ类或者Ⅲ类以上标准，达标率为100%。</w:t>
      </w:r>
    </w:p>
    <w:p>
      <w:pPr>
        <w:ind w:firstLine="640"/>
        <w:rPr>
          <w:color w:val="auto"/>
          <w:highlight w:val="none"/>
        </w:rPr>
      </w:pPr>
      <w:r>
        <w:rPr>
          <w:rFonts w:hint="eastAsia"/>
          <w:color w:val="auto"/>
          <w:highlight w:val="none"/>
        </w:rPr>
        <w:t>（三）自然保护地状况</w:t>
      </w:r>
    </w:p>
    <w:p>
      <w:pPr>
        <w:ind w:firstLine="640"/>
        <w:rPr>
          <w:color w:val="auto"/>
          <w:highlight w:val="none"/>
        </w:rPr>
      </w:pPr>
      <w:r>
        <w:rPr>
          <w:rFonts w:hint="eastAsia"/>
          <w:color w:val="auto"/>
          <w:highlight w:val="none"/>
        </w:rPr>
        <w:t>自然保护地整合优化后，龙南市还有8个自然保护地。其中，自然保护区1个，湿地公园1个，森林公园5个，风景名胜区1个。</w:t>
      </w:r>
    </w:p>
    <w:p>
      <w:pPr>
        <w:pStyle w:val="11"/>
        <w:spacing w:line="560" w:lineRule="exact"/>
        <w:ind w:firstLine="0" w:firstLineChars="0"/>
        <w:jc w:val="center"/>
        <w:rPr>
          <w:rFonts w:ascii="Times New Roman" w:hAnsi="Times New Roman"/>
          <w:color w:val="auto"/>
          <w:highlight w:val="none"/>
        </w:rPr>
      </w:pPr>
      <w:r>
        <w:rPr>
          <w:rFonts w:hint="eastAsia" w:ascii="Times New Roman" w:hAnsi="Times New Roman" w:eastAsia="楷体"/>
          <w:color w:val="auto"/>
          <w:sz w:val="24"/>
          <w:highlight w:val="none"/>
        </w:rPr>
        <w:t>专栏2-1</w:t>
      </w:r>
      <w:r>
        <w:rPr>
          <w:rFonts w:ascii="Times New Roman" w:hAnsi="Times New Roman" w:eastAsia="楷体"/>
          <w:color w:val="auto"/>
          <w:sz w:val="24"/>
          <w:highlight w:val="none"/>
        </w:rPr>
        <w:t xml:space="preserve"> </w:t>
      </w:r>
      <w:r>
        <w:rPr>
          <w:rFonts w:hint="eastAsia" w:ascii="Times New Roman" w:hAnsi="Times New Roman" w:eastAsia="楷体"/>
          <w:color w:val="auto"/>
          <w:sz w:val="24"/>
          <w:highlight w:val="none"/>
        </w:rPr>
        <w:t>龙南市自然保护地状况</w:t>
      </w:r>
    </w:p>
    <w:tbl>
      <w:tblPr>
        <w:tblStyle w:val="22"/>
        <w:tblW w:w="833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403"/>
        <w:gridCol w:w="1737"/>
        <w:gridCol w:w="41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blHeader/>
          <w:jc w:val="center"/>
        </w:trPr>
        <w:tc>
          <w:tcPr>
            <w:tcW w:w="2403" w:type="dxa"/>
            <w:tcBorders>
              <w:tl2br w:val="nil"/>
              <w:tr2bl w:val="nil"/>
            </w:tcBorders>
            <w:shd w:val="clear" w:color="auto" w:fill="F1F1F1" w:themeFill="background1" w:themeFillShade="F2"/>
            <w:tcMar>
              <w:top w:w="15" w:type="dxa"/>
              <w:left w:w="15" w:type="dxa"/>
              <w:right w:w="15" w:type="dxa"/>
            </w:tcMar>
            <w:vAlign w:val="center"/>
          </w:tcPr>
          <w:p>
            <w:pPr>
              <w:widowControl/>
              <w:snapToGrid w:val="0"/>
              <w:spacing w:line="240" w:lineRule="auto"/>
              <w:ind w:firstLine="0" w:firstLineChars="0"/>
              <w:jc w:val="center"/>
              <w:rPr>
                <w:rFonts w:cs="仿宋"/>
                <w:b/>
                <w:bCs/>
                <w:color w:val="auto"/>
                <w:kern w:val="0"/>
                <w:sz w:val="24"/>
                <w:highlight w:val="none"/>
              </w:rPr>
            </w:pPr>
            <w:r>
              <w:rPr>
                <w:rFonts w:hint="eastAsia" w:cs="仿宋"/>
                <w:b/>
                <w:bCs/>
                <w:color w:val="auto"/>
                <w:kern w:val="0"/>
                <w:sz w:val="24"/>
                <w:highlight w:val="none"/>
              </w:rPr>
              <w:t>自然保护地类型</w:t>
            </w:r>
          </w:p>
        </w:tc>
        <w:tc>
          <w:tcPr>
            <w:tcW w:w="1737" w:type="dxa"/>
            <w:tcBorders>
              <w:tl2br w:val="nil"/>
              <w:tr2bl w:val="nil"/>
            </w:tcBorders>
            <w:shd w:val="clear" w:color="auto" w:fill="F1F1F1" w:themeFill="background1" w:themeFillShade="F2"/>
            <w:tcMar>
              <w:top w:w="15" w:type="dxa"/>
              <w:left w:w="15" w:type="dxa"/>
              <w:right w:w="15" w:type="dxa"/>
            </w:tcMar>
            <w:vAlign w:val="center"/>
          </w:tcPr>
          <w:p>
            <w:pPr>
              <w:widowControl/>
              <w:snapToGrid w:val="0"/>
              <w:spacing w:line="240" w:lineRule="auto"/>
              <w:ind w:firstLine="0" w:firstLineChars="0"/>
              <w:jc w:val="center"/>
              <w:rPr>
                <w:rFonts w:cs="仿宋"/>
                <w:b/>
                <w:bCs/>
                <w:color w:val="auto"/>
                <w:kern w:val="0"/>
                <w:sz w:val="24"/>
                <w:highlight w:val="none"/>
              </w:rPr>
            </w:pPr>
            <w:r>
              <w:rPr>
                <w:rFonts w:hint="eastAsia" w:cs="仿宋"/>
                <w:b/>
                <w:bCs/>
                <w:color w:val="auto"/>
                <w:kern w:val="0"/>
                <w:sz w:val="24"/>
                <w:highlight w:val="none"/>
              </w:rPr>
              <w:t>序号</w:t>
            </w:r>
          </w:p>
        </w:tc>
        <w:tc>
          <w:tcPr>
            <w:tcW w:w="4193" w:type="dxa"/>
            <w:tcBorders>
              <w:tl2br w:val="nil"/>
              <w:tr2bl w:val="nil"/>
            </w:tcBorders>
            <w:shd w:val="clear" w:color="auto" w:fill="F1F1F1" w:themeFill="background1" w:themeFillShade="F2"/>
            <w:tcMar>
              <w:top w:w="15" w:type="dxa"/>
              <w:left w:w="15" w:type="dxa"/>
              <w:right w:w="15" w:type="dxa"/>
            </w:tcMar>
            <w:vAlign w:val="center"/>
          </w:tcPr>
          <w:p>
            <w:pPr>
              <w:widowControl/>
              <w:snapToGrid w:val="0"/>
              <w:spacing w:line="240" w:lineRule="auto"/>
              <w:ind w:firstLine="0" w:firstLineChars="0"/>
              <w:jc w:val="center"/>
              <w:rPr>
                <w:rFonts w:cs="仿宋"/>
                <w:b/>
                <w:bCs/>
                <w:color w:val="auto"/>
                <w:kern w:val="0"/>
                <w:sz w:val="24"/>
                <w:highlight w:val="none"/>
              </w:rPr>
            </w:pPr>
            <w:r>
              <w:rPr>
                <w:rFonts w:hint="eastAsia" w:cs="仿宋"/>
                <w:b/>
                <w:bCs/>
                <w:color w:val="auto"/>
                <w:kern w:val="0"/>
                <w:sz w:val="24"/>
                <w:highlight w:val="none"/>
              </w:rPr>
              <w:t>名称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自然保护区</w:t>
            </w:r>
          </w:p>
        </w:tc>
        <w:tc>
          <w:tcPr>
            <w:tcW w:w="1737"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1</w:t>
            </w:r>
          </w:p>
        </w:tc>
        <w:tc>
          <w:tcPr>
            <w:tcW w:w="419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江西九连山国家级自然保护区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湿地公园</w:t>
            </w:r>
          </w:p>
        </w:tc>
        <w:tc>
          <w:tcPr>
            <w:tcW w:w="1737"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2</w:t>
            </w:r>
          </w:p>
        </w:tc>
        <w:tc>
          <w:tcPr>
            <w:tcW w:w="419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江西龙南桃江省级湿地公园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vMerge w:val="restart"/>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森林公园</w:t>
            </w:r>
          </w:p>
        </w:tc>
        <w:tc>
          <w:tcPr>
            <w:tcW w:w="1737"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3</w:t>
            </w:r>
          </w:p>
        </w:tc>
        <w:tc>
          <w:tcPr>
            <w:tcW w:w="419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江西九连山国家级森林公园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vMerge w:val="continue"/>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p>
        </w:tc>
        <w:tc>
          <w:tcPr>
            <w:tcW w:w="1737"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4</w:t>
            </w:r>
          </w:p>
        </w:tc>
        <w:tc>
          <w:tcPr>
            <w:tcW w:w="419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江西龙南武当山省级森林公园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vMerge w:val="continue"/>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p>
        </w:tc>
        <w:tc>
          <w:tcPr>
            <w:tcW w:w="1737"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5</w:t>
            </w:r>
          </w:p>
        </w:tc>
        <w:tc>
          <w:tcPr>
            <w:tcW w:w="419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江西龙南安基山省级森林公园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vMerge w:val="continue"/>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p>
        </w:tc>
        <w:tc>
          <w:tcPr>
            <w:tcW w:w="1737"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6</w:t>
            </w:r>
          </w:p>
        </w:tc>
        <w:tc>
          <w:tcPr>
            <w:tcW w:w="419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江西龙南茶坑省级森林公园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vMerge w:val="continue"/>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p>
        </w:tc>
        <w:tc>
          <w:tcPr>
            <w:tcW w:w="1737"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7</w:t>
            </w:r>
          </w:p>
        </w:tc>
        <w:tc>
          <w:tcPr>
            <w:tcW w:w="419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江西龙南金鸡寨省级森林公园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240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风景名胜区</w:t>
            </w:r>
          </w:p>
        </w:tc>
        <w:tc>
          <w:tcPr>
            <w:tcW w:w="1737"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8</w:t>
            </w:r>
          </w:p>
        </w:tc>
        <w:tc>
          <w:tcPr>
            <w:tcW w:w="4193" w:type="dxa"/>
            <w:tcBorders>
              <w:tl2br w:val="nil"/>
              <w:tr2bl w:val="nil"/>
            </w:tcBorders>
            <w:shd w:val="clear" w:color="auto" w:fill="auto"/>
            <w:tcMar>
              <w:top w:w="15" w:type="dxa"/>
              <w:left w:w="15" w:type="dxa"/>
              <w:right w:w="15" w:type="dxa"/>
            </w:tcMar>
            <w:vAlign w:val="center"/>
          </w:tcPr>
          <w:p>
            <w:pPr>
              <w:widowControl/>
              <w:snapToGrid w:val="0"/>
              <w:spacing w:line="240" w:lineRule="auto"/>
              <w:ind w:firstLine="0" w:firstLineChars="0"/>
              <w:jc w:val="center"/>
              <w:rPr>
                <w:rFonts w:cs="仿宋"/>
                <w:color w:val="auto"/>
                <w:kern w:val="0"/>
                <w:sz w:val="24"/>
                <w:highlight w:val="none"/>
              </w:rPr>
            </w:pPr>
            <w:r>
              <w:rPr>
                <w:rFonts w:hint="eastAsia" w:cs="仿宋"/>
                <w:color w:val="auto"/>
                <w:kern w:val="0"/>
                <w:sz w:val="24"/>
                <w:highlight w:val="none"/>
              </w:rPr>
              <w:t>小武当国家级风景名胜区</w:t>
            </w:r>
          </w:p>
        </w:tc>
      </w:tr>
    </w:tbl>
    <w:p>
      <w:pPr>
        <w:ind w:firstLine="640"/>
        <w:rPr>
          <w:rFonts w:hint="eastAsia"/>
          <w:color w:val="auto"/>
          <w:highlight w:val="none"/>
        </w:rPr>
      </w:pPr>
    </w:p>
    <w:p>
      <w:pPr>
        <w:pStyle w:val="5"/>
        <w:rPr>
          <w:color w:val="auto"/>
          <w:highlight w:val="none"/>
        </w:rPr>
      </w:pPr>
      <w:bookmarkStart w:id="17" w:name="_Toc8752"/>
      <w:bookmarkStart w:id="18" w:name="_Toc26886"/>
      <w:r>
        <w:rPr>
          <w:rFonts w:hint="eastAsia"/>
          <w:color w:val="auto"/>
          <w:highlight w:val="none"/>
        </w:rPr>
        <w:t>第二节 存在的主要问题和风险</w:t>
      </w:r>
      <w:bookmarkEnd w:id="17"/>
      <w:bookmarkEnd w:id="18"/>
    </w:p>
    <w:p>
      <w:pPr>
        <w:pStyle w:val="6"/>
        <w:rPr>
          <w:color w:val="auto"/>
          <w:highlight w:val="none"/>
        </w:rPr>
      </w:pPr>
      <w:bookmarkStart w:id="19" w:name="_Toc66368030"/>
      <w:r>
        <w:rPr>
          <w:rFonts w:hint="eastAsia"/>
          <w:color w:val="auto"/>
          <w:highlight w:val="none"/>
        </w:rPr>
        <w:t>一、森林生态系统质量不高、</w:t>
      </w:r>
      <w:bookmarkEnd w:id="19"/>
      <w:r>
        <w:rPr>
          <w:rFonts w:hint="eastAsia"/>
          <w:color w:val="auto"/>
          <w:highlight w:val="none"/>
        </w:rPr>
        <w:t>生物多样性保护压力大</w:t>
      </w:r>
    </w:p>
    <w:p>
      <w:pPr>
        <w:ind w:firstLine="640"/>
        <w:rPr>
          <w:color w:val="auto"/>
          <w:highlight w:val="none"/>
        </w:rPr>
      </w:pPr>
      <w:r>
        <w:rPr>
          <w:rFonts w:hint="eastAsia"/>
          <w:color w:val="auto"/>
          <w:highlight w:val="none"/>
        </w:rPr>
        <w:t>龙南市森林资源质量仍然不高，林业生态建设还存在许多薄弱环节，低质低效林、残次林在森林资源中占有较大比重。龙南市森林</w:t>
      </w:r>
      <w:r>
        <w:rPr>
          <w:rFonts w:hint="eastAsia"/>
          <w:color w:val="auto"/>
          <w:highlight w:val="none"/>
          <w:lang w:val="en-US" w:eastAsia="zh-CN"/>
        </w:rPr>
        <w:t>覆盖率82.2%，虽居全省前列</w:t>
      </w:r>
      <w:r>
        <w:rPr>
          <w:rFonts w:hint="eastAsia"/>
          <w:color w:val="auto"/>
          <w:highlight w:val="none"/>
        </w:rPr>
        <w:t>，但</w:t>
      </w:r>
      <w:r>
        <w:rPr>
          <w:rFonts w:hint="eastAsia"/>
          <w:color w:val="auto"/>
          <w:highlight w:val="none"/>
          <w:lang w:val="en-US" w:eastAsia="zh-CN"/>
        </w:rPr>
        <w:t>单位面积平均</w:t>
      </w:r>
      <w:r>
        <w:rPr>
          <w:rFonts w:hint="eastAsia"/>
          <w:color w:val="auto"/>
          <w:highlight w:val="none"/>
        </w:rPr>
        <w:t>蓄积</w:t>
      </w:r>
      <w:r>
        <w:rPr>
          <w:rFonts w:hint="eastAsia"/>
          <w:color w:val="auto"/>
          <w:highlight w:val="none"/>
          <w:lang w:val="en-US" w:eastAsia="zh-CN"/>
        </w:rPr>
        <w:t>量为每公顷77立方米，远低于全国96.17的平均</w:t>
      </w:r>
      <w:r>
        <w:rPr>
          <w:rFonts w:hint="eastAsia"/>
          <w:color w:val="auto"/>
          <w:highlight w:val="none"/>
        </w:rPr>
        <w:t>水平。由于历史的原因和人类的活动，使龙南市的自然资源受到很大的破坏。原生的常绿阔叶林生态系统仅存在于少数边远山区</w:t>
      </w:r>
      <w:r>
        <w:rPr>
          <w:rFonts w:hint="eastAsia"/>
          <w:color w:val="auto"/>
          <w:highlight w:val="none"/>
          <w:lang w:eastAsia="zh-CN"/>
        </w:rPr>
        <w:t>，</w:t>
      </w:r>
      <w:r>
        <w:rPr>
          <w:rFonts w:hint="eastAsia"/>
          <w:color w:val="auto"/>
          <w:highlight w:val="none"/>
        </w:rPr>
        <w:t>大多区域为次生的常绿阔叶林、灌木林、人工林、经济林</w:t>
      </w:r>
      <w:r>
        <w:rPr>
          <w:rFonts w:hint="eastAsia"/>
          <w:color w:val="auto"/>
          <w:highlight w:val="none"/>
          <w:lang w:eastAsia="zh-CN"/>
        </w:rPr>
        <w:t>；</w:t>
      </w:r>
      <w:r>
        <w:rPr>
          <w:rFonts w:hint="eastAsia"/>
          <w:color w:val="auto"/>
          <w:highlight w:val="none"/>
          <w:lang w:val="en-US" w:eastAsia="zh-CN"/>
        </w:rPr>
        <w:t>林龄结构不合理，中幼林占比达68.77%</w:t>
      </w:r>
      <w:r>
        <w:rPr>
          <w:rFonts w:hint="eastAsia"/>
          <w:color w:val="auto"/>
          <w:highlight w:val="none"/>
        </w:rPr>
        <w:t>。</w:t>
      </w:r>
    </w:p>
    <w:p>
      <w:pPr>
        <w:ind w:firstLine="640"/>
        <w:rPr>
          <w:color w:val="auto"/>
          <w:highlight w:val="none"/>
        </w:rPr>
      </w:pPr>
      <w:r>
        <w:rPr>
          <w:rFonts w:hint="eastAsia"/>
          <w:color w:val="auto"/>
          <w:highlight w:val="none"/>
        </w:rPr>
        <w:t>物种种类主要表现在西南部多，中、东、北部少，而南部森林生态系统保护较好，建立了九连山国家级自然保护区以及六个县级自然保护区，其生态环境保存完整，破坏性小，生物种类丰富。而中、东部由于交通方便，人为活动强，开发利用时间长，受果业开发影响大，自然环境破坏较多，生物种类较少，经济果木林比重较大。</w:t>
      </w:r>
    </w:p>
    <w:p>
      <w:pPr>
        <w:pStyle w:val="6"/>
        <w:rPr>
          <w:color w:val="auto"/>
          <w:highlight w:val="none"/>
        </w:rPr>
      </w:pPr>
      <w:bookmarkStart w:id="20" w:name="_Toc66368031"/>
      <w:r>
        <w:rPr>
          <w:rFonts w:hint="eastAsia"/>
          <w:color w:val="auto"/>
          <w:highlight w:val="none"/>
        </w:rPr>
        <w:t>二、生境质量有待提高，</w:t>
      </w:r>
      <w:bookmarkEnd w:id="20"/>
      <w:r>
        <w:rPr>
          <w:rFonts w:hint="eastAsia"/>
          <w:color w:val="auto"/>
          <w:highlight w:val="none"/>
        </w:rPr>
        <w:t>生态保护压力不断加大</w:t>
      </w:r>
    </w:p>
    <w:p>
      <w:pPr>
        <w:ind w:firstLine="640"/>
        <w:rPr>
          <w:color w:val="auto"/>
          <w:highlight w:val="none"/>
        </w:rPr>
      </w:pPr>
      <w:r>
        <w:rPr>
          <w:rFonts w:hint="eastAsia"/>
          <w:color w:val="auto"/>
          <w:highlight w:val="none"/>
        </w:rPr>
        <w:t>龙南市森林生态系统存在树种结构单一、病虫害易发、森林防护难度大等诸多缺陷。森林火灾等自然灾害与盗采盗伐等人为灾害现象对林内大量珍稀野生动植物构成一定威胁。加之水土流失、矿山开发、城镇化发展等多种不利因素，森林生态系统功能总体不强，表现为重要栖息地面积有一定萎缩，景观破碎化程度加剧，景观连通性差。个别地方湿地保护力度不够，对生物多样性保护造成一定影响。现有自然保护地管理也存在一定的历史遗留问题，管理机构不健全，不能很好协调保护与开发矛盾，管理能力有待加强。</w:t>
      </w:r>
    </w:p>
    <w:p>
      <w:pPr>
        <w:ind w:firstLine="640"/>
        <w:rPr>
          <w:color w:val="auto"/>
          <w:highlight w:val="none"/>
        </w:rPr>
      </w:pPr>
      <w:r>
        <w:rPr>
          <w:rFonts w:hint="eastAsia"/>
          <w:color w:val="auto"/>
          <w:highlight w:val="none"/>
        </w:rPr>
        <w:t>局部存在生态脆弱区域过度开发利用现象，如饮用水源地周边、小二型水库周边以及局部废弃矿山等。乱砍滥伐、乱捕野生动物时有发生。松材线虫、黄龙病疫情防控形势十分严重，森林灾害预警监测体系仍需完善。</w:t>
      </w:r>
    </w:p>
    <w:p>
      <w:pPr>
        <w:pStyle w:val="6"/>
        <w:rPr>
          <w:color w:val="auto"/>
          <w:highlight w:val="none"/>
        </w:rPr>
      </w:pPr>
      <w:bookmarkStart w:id="21" w:name="_Toc66368032"/>
      <w:r>
        <w:rPr>
          <w:rFonts w:hint="eastAsia"/>
          <w:color w:val="auto"/>
          <w:highlight w:val="none"/>
        </w:rPr>
        <w:t>三、矿山环境受损，部分区域</w:t>
      </w:r>
      <w:bookmarkEnd w:id="21"/>
      <w:r>
        <w:rPr>
          <w:rFonts w:hint="eastAsia"/>
          <w:color w:val="auto"/>
          <w:highlight w:val="none"/>
        </w:rPr>
        <w:t>历史遗留问题突出</w:t>
      </w:r>
    </w:p>
    <w:p>
      <w:pPr>
        <w:ind w:firstLine="640"/>
        <w:rPr>
          <w:color w:val="auto"/>
          <w:highlight w:val="none"/>
        </w:rPr>
      </w:pPr>
      <w:r>
        <w:rPr>
          <w:rFonts w:hint="eastAsia"/>
          <w:color w:val="auto"/>
          <w:highlight w:val="none"/>
        </w:rPr>
        <w:t>部分区域历史遗留问题突出。龙南是全国最早发现并开采的南方离子型重稀土资源县，稀土产业在县域经济发展中占有极其重要的位置。经过半个世纪的开采，稀土的高产出、高收益亦为龙南市带来了严重的生态破坏和环境污染问题，尤其是水环境污染防治形势依然十分严峻。尽管龙南市进行了全面的矿山地质环境恢复和土地复垦治理，但由于“重资源开发，轻环境保护”的历史原因，废渣、废水仍将对矿山地质环境产生一定危害，露天开采的废弃矿山生态景观破坏严重，地质灾害隐患仍然存在。</w:t>
      </w:r>
    </w:p>
    <w:p>
      <w:pPr>
        <w:pStyle w:val="3"/>
        <w:ind w:firstLine="672"/>
        <w:rPr>
          <w:color w:val="auto"/>
          <w:highlight w:val="none"/>
        </w:rPr>
      </w:pPr>
      <w:r>
        <w:rPr>
          <w:rFonts w:hint="eastAsia"/>
          <w:color w:val="auto"/>
          <w:highlight w:val="none"/>
        </w:rPr>
        <w:t>根据</w:t>
      </w:r>
      <w:r>
        <w:rPr>
          <w:rFonts w:hint="eastAsia"/>
          <w:color w:val="auto"/>
          <w:highlight w:val="none"/>
          <w:lang w:val="en-US" w:eastAsia="zh-CN"/>
        </w:rPr>
        <w:t>赣州市历史遗留矿山图斑核查三上成果据，</w:t>
      </w:r>
      <w:r>
        <w:rPr>
          <w:rFonts w:hint="eastAsia"/>
          <w:color w:val="auto"/>
          <w:highlight w:val="none"/>
        </w:rPr>
        <w:t>截至2020年底，</w:t>
      </w:r>
      <w:r>
        <w:rPr>
          <w:rFonts w:hint="eastAsia"/>
          <w:color w:val="auto"/>
          <w:highlight w:val="none"/>
          <w:lang w:val="en-US" w:eastAsia="zh-CN"/>
        </w:rPr>
        <w:t>龙南</w:t>
      </w:r>
      <w:r>
        <w:rPr>
          <w:rFonts w:hint="eastAsia"/>
          <w:color w:val="auto"/>
          <w:highlight w:val="none"/>
        </w:rPr>
        <w:t>市仍有</w:t>
      </w:r>
      <w:r>
        <w:rPr>
          <w:rFonts w:hint="eastAsia"/>
          <w:color w:val="auto"/>
          <w:highlight w:val="none"/>
          <w:lang w:val="en-US" w:eastAsia="zh-CN"/>
        </w:rPr>
        <w:t>历史遗留矿山图斑24个，</w:t>
      </w:r>
      <w:r>
        <w:rPr>
          <w:rFonts w:hint="eastAsia"/>
          <w:color w:val="auto"/>
          <w:highlight w:val="none"/>
        </w:rPr>
        <w:t>需治理面积达</w:t>
      </w:r>
      <w:r>
        <w:rPr>
          <w:rFonts w:hint="eastAsia"/>
          <w:color w:val="auto"/>
          <w:highlight w:val="none"/>
          <w:lang w:val="en-US" w:eastAsia="zh-CN"/>
        </w:rPr>
        <w:t>66.44</w:t>
      </w:r>
      <w:r>
        <w:rPr>
          <w:rFonts w:hint="eastAsia"/>
          <w:color w:val="auto"/>
          <w:highlight w:val="none"/>
        </w:rPr>
        <w:t>公顷。矿山开采</w:t>
      </w:r>
      <w:r>
        <w:rPr>
          <w:rFonts w:hint="eastAsia"/>
          <w:color w:val="auto"/>
          <w:highlight w:val="none"/>
          <w:lang w:val="en-US" w:eastAsia="zh-CN"/>
        </w:rPr>
        <w:t>不仅</w:t>
      </w:r>
      <w:r>
        <w:rPr>
          <w:rFonts w:hint="eastAsia"/>
          <w:color w:val="auto"/>
          <w:highlight w:val="none"/>
        </w:rPr>
        <w:t>破坏地形地貌，</w:t>
      </w:r>
      <w:r>
        <w:rPr>
          <w:rFonts w:hint="eastAsia"/>
          <w:color w:val="auto"/>
          <w:highlight w:val="none"/>
          <w:lang w:val="en-US" w:eastAsia="zh-CN"/>
        </w:rPr>
        <w:t>破坏地表植被，加剧矿区水土流失，</w:t>
      </w:r>
      <w:r>
        <w:rPr>
          <w:rFonts w:hint="eastAsia"/>
          <w:color w:val="auto"/>
          <w:highlight w:val="none"/>
        </w:rPr>
        <w:t>另外还导致了一定程度的水土污染、地下含水层破坏等历史遗留问题，迫切需要解决。</w:t>
      </w:r>
    </w:p>
    <w:p>
      <w:pPr>
        <w:pStyle w:val="6"/>
        <w:rPr>
          <w:color w:val="auto"/>
          <w:highlight w:val="none"/>
        </w:rPr>
      </w:pPr>
      <w:bookmarkStart w:id="22" w:name="_Toc66368033"/>
      <w:r>
        <w:rPr>
          <w:rFonts w:hint="eastAsia"/>
          <w:color w:val="auto"/>
          <w:highlight w:val="none"/>
        </w:rPr>
        <w:t>四、部分区域水环境质量下降，需要进行整体提升</w:t>
      </w:r>
      <w:bookmarkEnd w:id="22"/>
    </w:p>
    <w:p>
      <w:pPr>
        <w:ind w:firstLine="640"/>
        <w:rPr>
          <w:color w:val="auto"/>
          <w:highlight w:val="none"/>
        </w:rPr>
      </w:pPr>
      <w:r>
        <w:rPr>
          <w:rFonts w:hint="eastAsia"/>
          <w:color w:val="auto"/>
          <w:highlight w:val="none"/>
        </w:rPr>
        <w:t>龙南市水资源合理配置和高效利用体系尚不完善，水生态与水资源保护任务依然艰巨。全市现有小（2）型以上水库总库容仅有0.5574亿立方米，仅占全市水资源总量的2.34%，水资源调蓄能力严重不足，需要补充建设一批中、小型蓄水工程。龙头滩断面虽消灭劣Ⅴ类水，但在保类进类上难以有突破，水功能区水质达标率仍然未达到100%。剩余环境容量不足，主要污染物减排形势严峻。龙南生活污水处理厂、东江工业污水处理厂是龙南市关键的水污染物（氨氮、化学需氧量）减排项目。因东江工业污水处理厂对园区污水处理率低，目前正在开展龙南经开区工业园区污水处理厂扩容提标改造工程，扩容提标改造工程完成后污水处理规模将达到2万吨/日，出水标准将达到《城镇污水处理厂污染物排放标准》（GB18918</w:t>
      </w:r>
      <w:r>
        <w:rPr>
          <w:rFonts w:hint="eastAsia"/>
          <w:color w:val="auto"/>
          <w:highlight w:val="none"/>
          <w:lang w:val="en-US" w:eastAsia="zh-CN"/>
        </w:rPr>
        <w:t>-</w:t>
      </w:r>
      <w:r>
        <w:rPr>
          <w:rFonts w:hint="eastAsia"/>
          <w:color w:val="auto"/>
          <w:highlight w:val="none"/>
        </w:rPr>
        <w:t>2002）中一级A标准。</w:t>
      </w:r>
    </w:p>
    <w:p>
      <w:pPr>
        <w:pStyle w:val="6"/>
        <w:rPr>
          <w:color w:val="auto"/>
          <w:highlight w:val="none"/>
        </w:rPr>
      </w:pPr>
      <w:bookmarkStart w:id="23" w:name="_Toc66368034"/>
      <w:r>
        <w:rPr>
          <w:rFonts w:hint="eastAsia"/>
          <w:color w:val="auto"/>
          <w:highlight w:val="none"/>
        </w:rPr>
        <w:t>五、</w:t>
      </w:r>
      <w:bookmarkEnd w:id="23"/>
      <w:r>
        <w:rPr>
          <w:rFonts w:hint="eastAsia"/>
          <w:color w:val="auto"/>
          <w:highlight w:val="none"/>
        </w:rPr>
        <w:t>农业生态系统有所退化，农田与农村生态建设有待加强</w:t>
      </w:r>
    </w:p>
    <w:p>
      <w:pPr>
        <w:ind w:firstLine="640"/>
        <w:rPr>
          <w:color w:val="auto"/>
          <w:highlight w:val="none"/>
        </w:rPr>
      </w:pPr>
      <w:r>
        <w:rPr>
          <w:rFonts w:hint="eastAsia"/>
          <w:color w:val="auto"/>
          <w:highlight w:val="none"/>
        </w:rPr>
        <w:t>龙南市农村环境保护工作当前还比较薄弱。一是大部分乡镇粪便没有得到有效的收集和处理，农村脏乱差现象和环境污染问题仍然存在。二是畜禽养殖污染仍然比较严重，养殖场粪便处理能力不足，广大农村还有很多达不到规模化建设要求的零散养殖户，畜禽养殖粪便未采取任何处理措施直接排入自然环境中。三是种植业面源污染问题依然突出，果农自发大规模发展脐橙种植等果业的同时，也带来了农药和肥料使用量大幅度增加，果业使用的农药、化肥量约占使用总量的30％以上，加剧了土壤、水环境中的氨氮、总氮、总磷和重金属污染，对集雨区域内的水源产生重大影响。四是近年有部分的企业转移到乡镇及农村，工业污染和城市污染有向农村延伸和扩散的趋势。五是耕地地力提升不快，农田生态系统要素较为单一。资源利用不合理，造成地力提升速度较慢，大型机械在农村很难展开，农业基础设施建设薄弱，农田生态系统单一，生物多样性降低。</w:t>
      </w:r>
    </w:p>
    <w:p>
      <w:pPr>
        <w:pStyle w:val="6"/>
        <w:rPr>
          <w:color w:val="auto"/>
          <w:highlight w:val="none"/>
        </w:rPr>
      </w:pPr>
      <w:bookmarkStart w:id="24" w:name="_Toc66368036"/>
      <w:r>
        <w:rPr>
          <w:rFonts w:hint="eastAsia"/>
          <w:color w:val="auto"/>
          <w:highlight w:val="none"/>
        </w:rPr>
        <w:t>六、</w:t>
      </w:r>
      <w:bookmarkEnd w:id="24"/>
      <w:r>
        <w:rPr>
          <w:rFonts w:hint="eastAsia"/>
          <w:color w:val="auto"/>
          <w:highlight w:val="none"/>
        </w:rPr>
        <w:t>城乡人居环境相对脆弱，人地矛盾较为突出</w:t>
      </w:r>
    </w:p>
    <w:p>
      <w:pPr>
        <w:ind w:firstLine="640"/>
        <w:rPr>
          <w:color w:val="auto"/>
          <w:highlight w:val="none"/>
        </w:rPr>
      </w:pPr>
      <w:r>
        <w:rPr>
          <w:rFonts w:hint="eastAsia"/>
          <w:color w:val="auto"/>
          <w:highlight w:val="none"/>
        </w:rPr>
        <w:t>城市环境品质有待提升。龙南市废水、废气污染排放量大，处理难度加大，一定程度上影响了城市生态安全，损害人体健康。城区绿地与绿量空间分布不均匀，生态功能较弱，生物多样性保护空间缺乏，城区外围绿地及老城区和单位附属绿地规模、质量都需要提升。园林绿化树种配置存在着品种单调，缺少复层群落结构。难以有效发挥林木净化空气，改善环境的生态功能。城区生活废弃物和农药、化肥等的污染，影响了植物生长及其功能的发挥。城市生态空间总量减少，生态空间破碎度加剧。各类城乡建设用地增长迅速，占用不少生态用地，使得区域生态空间总量逐年减少。随着区域交通设施的快速发展，打断了生态系统之间原有的生态联系，阻碍了野生动物的流动、迁徙，影响了生态过程的延续。</w:t>
      </w:r>
    </w:p>
    <w:p>
      <w:pPr>
        <w:pStyle w:val="6"/>
        <w:rPr>
          <w:color w:val="auto"/>
          <w:highlight w:val="none"/>
        </w:rPr>
      </w:pPr>
      <w:bookmarkStart w:id="25" w:name="_Toc66368035"/>
      <w:r>
        <w:rPr>
          <w:rFonts w:hint="eastAsia"/>
          <w:color w:val="auto"/>
          <w:highlight w:val="none"/>
        </w:rPr>
        <w:t>七、水土流失形势依旧严峻，综合治理依然繁重</w:t>
      </w:r>
    </w:p>
    <w:p>
      <w:pPr>
        <w:ind w:firstLine="640"/>
        <w:rPr>
          <w:color w:val="auto"/>
          <w:highlight w:val="none"/>
        </w:rPr>
      </w:pPr>
      <w:r>
        <w:rPr>
          <w:rFonts w:hint="eastAsia"/>
          <w:color w:val="auto"/>
          <w:highlight w:val="none"/>
          <w:lang w:val="en-US" w:eastAsia="zh-CN"/>
        </w:rPr>
        <w:t>江西省2020年水土保持公报表明</w:t>
      </w:r>
      <w:r>
        <w:rPr>
          <w:rFonts w:hint="eastAsia"/>
          <w:color w:val="auto"/>
          <w:highlight w:val="none"/>
        </w:rPr>
        <w:t>，</w:t>
      </w:r>
      <w:r>
        <w:rPr>
          <w:rFonts w:hint="eastAsia"/>
          <w:color w:val="auto"/>
          <w:highlight w:val="none"/>
          <w:lang w:val="en-US" w:eastAsia="zh-CN"/>
        </w:rPr>
        <w:t>龙南</w:t>
      </w:r>
      <w:r>
        <w:rPr>
          <w:rFonts w:hint="eastAsia"/>
          <w:color w:val="auto"/>
          <w:highlight w:val="none"/>
        </w:rPr>
        <w:t>市仍有27</w:t>
      </w:r>
      <w:r>
        <w:rPr>
          <w:rFonts w:hint="eastAsia"/>
          <w:color w:val="auto"/>
          <w:highlight w:val="none"/>
          <w:lang w:val="en-US" w:eastAsia="zh-CN"/>
        </w:rPr>
        <w:t>5.22</w:t>
      </w:r>
      <w:r>
        <w:rPr>
          <w:rFonts w:hint="eastAsia"/>
          <w:color w:val="auto"/>
          <w:highlight w:val="none"/>
        </w:rPr>
        <w:t>平方公里的水土流失面积。而从水土流失历年的变化及组成情况来看，治理难度小、治理见效快的水土流失区已基本得到治理，后续治理难度加大；同时经济社会发展以及全域旅游的打造对生态环境的要求逐步提高，山水林田湖生态保护与修复工程、崩岗侵蚀综合治理、水生态文明建设、水利风景区等新任务不断涌现，水土保持综合治理进入快速升级转型阶段。功能更为合理、措施体系更健全、与区域发展结合更紧密的新型小流域运应而生，除传统的小流域综合治理外，生态清洁型小流域、生态安全型小流域、生态经济型小流域和生态旅游型小流域等“四型”型小流域将是今后水土保持治理的新方向，新时期水土保持综合治理任务依然繁重。</w:t>
      </w:r>
    </w:p>
    <w:p>
      <w:pPr>
        <w:ind w:firstLine="640"/>
        <w:rPr>
          <w:color w:val="auto"/>
          <w:highlight w:val="none"/>
        </w:rPr>
      </w:pPr>
      <w:r>
        <w:rPr>
          <w:rFonts w:hint="eastAsia"/>
          <w:color w:val="auto"/>
          <w:highlight w:val="none"/>
        </w:rPr>
        <w:t>龙南市人为水土流失主要由生产建设项目和农业生产等造成。随着近年来经济的快速发展，龙南市城市化进程加快，城区面积急剧扩张，市政工程建设、房地产开发、开发区建设等各类开发建设项目纷纷上马，以及龙南市最重要的矿产—稀土矿开采，各类开发建设项目等对原地貌、土地和植被的扰动与破坏，以及生产建设过程中产生的大量弃土、弃石、弃渣，都是人为水土流失加剧的重要原因。从空间上看，人为水土流失在龙南镇、里仁镇、渡江镇等开发建设区域，以及汶龙镇、里仁镇、关西镇、东江乡、临塘乡、渡江镇等稀土开采区域增长较为明显。开发建设活动扰动原地貌、损坏植被、产生的废弃土石渣以及松散的土石方临时堆积，为水土流失提供了大量的物质来源，直接增加入河、入湖的泥沙量。虽经不懈的努力，将其纳入依法监督管理的轨道，人为水土流失得到了初步遏制，但生产建设单位重建设轻生态轻水保现象仍然存在，少数地方和部门的水土保持国策意识和法制观念仍然淡薄，水土保持工作未能列入议事日程，导致对开发建设项目水土流失监管处于被动局面，存在监管对象不全面、措施不到位等问题。水土流失治理组织方式和管理方式落后于国家水土保持生态建设发展的新形势，需进一步加强人为水土流失防治和监督管理。</w:t>
      </w:r>
    </w:p>
    <w:p>
      <w:pPr>
        <w:pStyle w:val="6"/>
        <w:rPr>
          <w:color w:val="auto"/>
          <w:highlight w:val="none"/>
        </w:rPr>
      </w:pPr>
      <w:r>
        <w:rPr>
          <w:rFonts w:hint="eastAsia"/>
          <w:color w:val="auto"/>
          <w:highlight w:val="none"/>
        </w:rPr>
        <w:t>八、生态保护修复机制体制尚不完善</w:t>
      </w:r>
      <w:bookmarkEnd w:id="25"/>
    </w:p>
    <w:p>
      <w:pPr>
        <w:ind w:firstLine="640"/>
        <w:rPr>
          <w:color w:val="auto"/>
          <w:highlight w:val="none"/>
        </w:rPr>
      </w:pPr>
      <w:r>
        <w:rPr>
          <w:color w:val="auto"/>
          <w:highlight w:val="none"/>
        </w:rPr>
        <w:t>第一，部门之间、区域之间协调推进机制有待进一步完善。区域生态保护修复是一项系统工程，涉及多类生态系统，但生态保护修复的相关职能分散于环保、水利、农业、自然资源等部门，整体合力还未充分发挥；此外，自然保护区等区域生态保护单元常以自然地理单元为主，涉及多个行政区域，协调多个行政区域、强化自然保护地的整体保护仍需强化。</w:t>
      </w:r>
    </w:p>
    <w:p>
      <w:pPr>
        <w:ind w:firstLine="640"/>
        <w:rPr>
          <w:color w:val="auto"/>
          <w:highlight w:val="none"/>
        </w:rPr>
      </w:pPr>
      <w:r>
        <w:rPr>
          <w:color w:val="auto"/>
          <w:highlight w:val="none"/>
        </w:rPr>
        <w:t>第二，尚需强化统筹各类工程项目资金、增强资金使用效率。</w:t>
      </w:r>
      <w:r>
        <w:rPr>
          <w:rFonts w:hint="eastAsia"/>
          <w:color w:val="auto"/>
          <w:highlight w:val="none"/>
        </w:rPr>
        <w:t>龙南市</w:t>
      </w:r>
      <w:r>
        <w:rPr>
          <w:color w:val="auto"/>
          <w:highlight w:val="none"/>
        </w:rPr>
        <w:t>许多生态环境问题在空间上重叠分布，导致水土流失治理、矿山修复、农田污染</w:t>
      </w:r>
      <w:r>
        <w:rPr>
          <w:rFonts w:hint="eastAsia"/>
          <w:color w:val="auto"/>
          <w:highlight w:val="none"/>
        </w:rPr>
        <w:t>治理等工程项目在区域上相互叠加，资金投入容易重复，影响资金使用效率。</w:t>
      </w:r>
    </w:p>
    <w:p>
      <w:pPr>
        <w:ind w:firstLine="640"/>
        <w:rPr>
          <w:color w:val="auto"/>
          <w:highlight w:val="none"/>
        </w:rPr>
      </w:pPr>
      <w:r>
        <w:rPr>
          <w:rFonts w:hint="eastAsia"/>
          <w:color w:val="auto"/>
          <w:highlight w:val="none"/>
        </w:rPr>
        <w:t>第三，生态保护修复考核评价机制仍需完善。考核评价工作是推进和完善区域生态保护修复的重要环节，但目前生态效益核算、离任审计、生态补偿机制、绿色融资机制等体制机制尚未建立或尚不完善，影响生态保护修复成效</w:t>
      </w:r>
      <w:r>
        <w:rPr>
          <w:color w:val="auto"/>
          <w:highlight w:val="none"/>
        </w:rPr>
        <w:t>。</w:t>
      </w:r>
    </w:p>
    <w:p>
      <w:pPr>
        <w:pStyle w:val="4"/>
        <w:jc w:val="center"/>
        <w:rPr>
          <w:color w:val="auto"/>
          <w:highlight w:val="none"/>
        </w:rPr>
      </w:pPr>
      <w:r>
        <w:rPr>
          <w:rFonts w:hint="eastAsia" w:eastAsia="黑体"/>
          <w:b w:val="0"/>
          <w:bCs w:val="0"/>
          <w:color w:val="auto"/>
          <w:highlight w:val="none"/>
        </w:rPr>
        <w:br w:type="page"/>
      </w:r>
      <w:bookmarkStart w:id="26" w:name="_Toc8470"/>
      <w:bookmarkStart w:id="27" w:name="_Toc26170"/>
      <w:r>
        <w:rPr>
          <w:rFonts w:hint="eastAsia"/>
          <w:color w:val="auto"/>
          <w:highlight w:val="none"/>
        </w:rPr>
        <w:t>第三章 总体要求与规划目标</w:t>
      </w:r>
      <w:bookmarkEnd w:id="26"/>
      <w:bookmarkEnd w:id="27"/>
    </w:p>
    <w:p>
      <w:pPr>
        <w:ind w:firstLine="640"/>
        <w:rPr>
          <w:color w:val="auto"/>
          <w:highlight w:val="none"/>
        </w:rPr>
      </w:pPr>
    </w:p>
    <w:p>
      <w:pPr>
        <w:pStyle w:val="5"/>
        <w:rPr>
          <w:color w:val="auto"/>
          <w:highlight w:val="none"/>
        </w:rPr>
      </w:pPr>
      <w:bookmarkStart w:id="28" w:name="_Toc31067"/>
      <w:bookmarkStart w:id="29" w:name="_Toc2767"/>
      <w:r>
        <w:rPr>
          <w:rFonts w:hint="eastAsia"/>
          <w:color w:val="auto"/>
          <w:highlight w:val="none"/>
        </w:rPr>
        <w:t>第一节 指导思想</w:t>
      </w:r>
      <w:bookmarkEnd w:id="28"/>
      <w:bookmarkEnd w:id="29"/>
    </w:p>
    <w:p>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rPr>
      </w:pPr>
      <w:r>
        <w:rPr>
          <w:rFonts w:hint="eastAsia"/>
          <w:color w:val="auto"/>
          <w:highlight w:val="none"/>
          <w:lang w:val="en-US" w:eastAsia="zh-CN"/>
        </w:rPr>
        <w:t>以习近平新时代中国特色社会主义思想为指导，深入贯彻落实习近平生态文明思想和习近平总书记视察江西重要讲话精神，坚持人与自然和谐共生、保护优先绿色发展的方针，树立和践行“绿水青山就是金山银山”的生态文明发展理念，以全面提升长江经济带和赣江源头区域龙南市重要生态安全屏障质量为目标，以统筹山水林田湖草一体化保护和修复为主线，以系统解决核心生态问题为导向，以流域上下游与自然地理单元为布局，分时序组织实施生态系统保护修复工程，着力提升生态系统质量，切实增强生态系统稳定性，全面扩大优质生态产品供给，建立健全生态修复体制机制，推进形成生态保护和修复新格局，为维护国家和区域生态安全、推进生态文明治理体系和治理能力现代化、加快建设美丽中国“龙南样板”奠定坚实生态基础</w:t>
      </w:r>
      <w:r>
        <w:rPr>
          <w:rFonts w:hint="eastAsia"/>
          <w:color w:val="auto"/>
          <w:highlight w:val="none"/>
        </w:rPr>
        <w:t>。</w:t>
      </w:r>
    </w:p>
    <w:p>
      <w:pPr>
        <w:pStyle w:val="5"/>
        <w:rPr>
          <w:color w:val="auto"/>
          <w:highlight w:val="none"/>
        </w:rPr>
      </w:pPr>
      <w:bookmarkStart w:id="30" w:name="_Toc16105"/>
      <w:bookmarkStart w:id="31" w:name="_Toc29719"/>
      <w:r>
        <w:rPr>
          <w:rFonts w:hint="eastAsia"/>
          <w:color w:val="auto"/>
          <w:highlight w:val="none"/>
        </w:rPr>
        <w:t>第二节 基本原则</w:t>
      </w:r>
      <w:bookmarkEnd w:id="30"/>
      <w:bookmarkEnd w:id="31"/>
    </w:p>
    <w:p>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lang w:val="en-US" w:eastAsia="zh-CN"/>
        </w:rPr>
      </w:pPr>
      <w:r>
        <w:rPr>
          <w:rFonts w:hint="eastAsia"/>
          <w:b/>
          <w:bCs/>
          <w:color w:val="auto"/>
          <w:highlight w:val="none"/>
          <w:lang w:val="en-US" w:eastAsia="zh-CN"/>
        </w:rPr>
        <w:t>坚持保护优先，自然恢复为主。</w:t>
      </w:r>
      <w:r>
        <w:rPr>
          <w:rFonts w:hint="eastAsia"/>
          <w:color w:val="auto"/>
          <w:highlight w:val="none"/>
          <w:lang w:val="en-US" w:eastAsia="zh-CN"/>
        </w:rPr>
        <w:t>坚持人与自然和谐共生，尊重自然、顺应自然、保护自然，遵循自然生态演替规律，倡导自然恢复理念，充分发挥自然生态系统自我恢复能力，以自然修复为主、人工干预为辅，科学落实生态修复措施，实现绿色生态、可持续发展。</w:t>
      </w:r>
    </w:p>
    <w:p>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lang w:val="en-US" w:eastAsia="zh-CN"/>
        </w:rPr>
      </w:pPr>
      <w:r>
        <w:rPr>
          <w:rFonts w:hint="eastAsia"/>
          <w:b/>
          <w:bCs/>
          <w:color w:val="auto"/>
          <w:highlight w:val="none"/>
          <w:lang w:val="en-US" w:eastAsia="zh-CN"/>
        </w:rPr>
        <w:t>坚持问题导向，突出重点难点。</w:t>
      </w:r>
      <w:r>
        <w:rPr>
          <w:rFonts w:hint="eastAsia"/>
          <w:color w:val="auto"/>
          <w:highlight w:val="none"/>
          <w:lang w:val="en-US" w:eastAsia="zh-CN"/>
        </w:rPr>
        <w:t>聚焦重点生态功能区、生态保护红线、自然保护地、“三区两线”等重点区域，针对生态系统退化、生态功能发挥不足、生态问题突出、生态产品和服务供给能力不足等重点区域，合理布设生态修复工程和项目。</w:t>
      </w:r>
    </w:p>
    <w:p>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lang w:val="en-US" w:eastAsia="zh-CN"/>
        </w:rPr>
      </w:pPr>
      <w:r>
        <w:rPr>
          <w:rFonts w:hint="eastAsia"/>
          <w:b/>
          <w:bCs/>
          <w:color w:val="auto"/>
          <w:highlight w:val="none"/>
          <w:lang w:val="en-US" w:eastAsia="zh-CN"/>
        </w:rPr>
        <w:t>坚持因地制宜，注重分类施策。</w:t>
      </w:r>
      <w:r>
        <w:rPr>
          <w:rFonts w:hint="eastAsia"/>
          <w:color w:val="auto"/>
          <w:highlight w:val="none"/>
          <w:lang w:val="en-US" w:eastAsia="zh-CN"/>
        </w:rPr>
        <w:t>坚持山水林田湖草生命共同体理念，考虑流域与自然地理条件、生态系统特征和格局演变规律，遵循生态系统内在机理，统筹流域上下游，科学识别生态、生产、生活空间，因地制宜、整体谋划，“宜耕则耕、宜林则林、宜水则水、宜建则建”，科学配置保护和修复、自然和人工、生物和工程等措施，推进一体化生态保护和修复，保障生态安全，提升生态功能，严控人造景观工程、形象工程和政绩工程。</w:t>
      </w:r>
    </w:p>
    <w:p>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lang w:val="en-US" w:eastAsia="zh-CN"/>
        </w:rPr>
      </w:pPr>
      <w:r>
        <w:rPr>
          <w:rFonts w:hint="eastAsia"/>
          <w:b/>
          <w:bCs/>
          <w:color w:val="auto"/>
          <w:highlight w:val="none"/>
          <w:lang w:val="en-US" w:eastAsia="zh-CN"/>
        </w:rPr>
        <w:t>坚持多元化投入，强化项目落地。</w:t>
      </w:r>
      <w:r>
        <w:rPr>
          <w:rFonts w:hint="eastAsia"/>
          <w:color w:val="auto"/>
          <w:highlight w:val="none"/>
          <w:lang w:val="en-US" w:eastAsia="zh-CN"/>
        </w:rPr>
        <w:t>践行“绿水青山就是金山银山”理念，深化生态修复领域制度创新，积极拓宽投融资筹措渠道，提升生态修复产品价值实现路径，推进形成政府主导、社会多元主体参与、市场化社会化运行的生态修复长效机制。合理安排生态修复项目和资金，整合与统筹相关工程项目协调配合，综合考虑项目的成熟度和可操作性，突出修复工程的针对性、时效性和可持续性，落实工程实施的资金投入保障，加强项目的实施能力建设，强化规划可操作性。</w:t>
      </w:r>
    </w:p>
    <w:p>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lang w:val="en-US" w:eastAsia="zh-CN"/>
        </w:rPr>
      </w:pPr>
      <w:r>
        <w:rPr>
          <w:rFonts w:hint="eastAsia"/>
          <w:b/>
          <w:bCs/>
          <w:color w:val="auto"/>
          <w:highlight w:val="none"/>
          <w:lang w:val="en-US" w:eastAsia="zh-CN"/>
        </w:rPr>
        <w:t>坚持充分论证，公众广泛参与。</w:t>
      </w:r>
      <w:r>
        <w:rPr>
          <w:rFonts w:hint="eastAsia"/>
          <w:color w:val="auto"/>
          <w:highlight w:val="none"/>
          <w:lang w:val="en-US" w:eastAsia="zh-CN"/>
        </w:rPr>
        <w:t>坚持“开门编规划”，建立牵头组织、专家领衔、部门合作、公众参与、科学决策的跨部门多领域合作编制工作机制，组建由经验丰富技术人才参与的规划编制团队，加强部门间联系，建立衔接和协调机制，提高规划决策水平。注重专家咨询和公众参与，探索开展规划编制听证，广泛听取各方面意见，提高决策的科学性和透明度。</w:t>
      </w:r>
    </w:p>
    <w:p>
      <w:pPr>
        <w:pStyle w:val="5"/>
        <w:rPr>
          <w:color w:val="auto"/>
          <w:highlight w:val="none"/>
        </w:rPr>
      </w:pPr>
      <w:bookmarkStart w:id="32" w:name="_Toc28756"/>
      <w:bookmarkStart w:id="33" w:name="_Toc23386"/>
      <w:r>
        <w:rPr>
          <w:color w:val="auto"/>
          <w:highlight w:val="none"/>
        </w:rPr>
        <w:t>第三节</w:t>
      </w:r>
      <w:r>
        <w:rPr>
          <w:rFonts w:hint="eastAsia"/>
          <w:color w:val="auto"/>
          <w:highlight w:val="none"/>
        </w:rPr>
        <w:t xml:space="preserve"> 规划目标</w:t>
      </w:r>
      <w:bookmarkEnd w:id="32"/>
      <w:bookmarkEnd w:id="33"/>
    </w:p>
    <w:p>
      <w:pPr>
        <w:pStyle w:val="6"/>
        <w:rPr>
          <w:color w:val="auto"/>
          <w:highlight w:val="none"/>
        </w:rPr>
      </w:pPr>
      <w:r>
        <w:rPr>
          <w:rFonts w:hint="eastAsia"/>
          <w:color w:val="auto"/>
          <w:highlight w:val="none"/>
        </w:rPr>
        <w:t>一、近期（2025年）规划目标</w:t>
      </w:r>
    </w:p>
    <w:p>
      <w:pPr>
        <w:ind w:firstLine="640"/>
        <w:rPr>
          <w:color w:val="auto"/>
          <w:highlight w:val="none"/>
        </w:rPr>
      </w:pPr>
      <w:r>
        <w:rPr>
          <w:rFonts w:hint="eastAsia"/>
          <w:b/>
          <w:bCs/>
          <w:color w:val="auto"/>
          <w:highlight w:val="none"/>
        </w:rPr>
        <w:t>自然生态系统功能持续提升</w:t>
      </w:r>
      <w:r>
        <w:rPr>
          <w:rFonts w:hint="eastAsia"/>
          <w:b/>
          <w:bCs/>
          <w:color w:val="auto"/>
          <w:highlight w:val="none"/>
          <w:lang w:eastAsia="zh-CN"/>
        </w:rPr>
        <w:t>。</w:t>
      </w:r>
      <w:r>
        <w:rPr>
          <w:rFonts w:hint="eastAsia"/>
          <w:color w:val="auto"/>
          <w:highlight w:val="none"/>
        </w:rPr>
        <w:t>通过提升森林质量，推进生物多样性提升，助力全市“碳达峰、碳中和”。到期末，</w:t>
      </w:r>
      <w:r>
        <w:rPr>
          <w:rFonts w:hint="eastAsia"/>
          <w:color w:val="auto"/>
          <w:highlight w:val="none"/>
          <w:lang w:val="en-US" w:eastAsia="zh-CN"/>
        </w:rPr>
        <w:t>龙南市</w:t>
      </w:r>
      <w:r>
        <w:rPr>
          <w:rFonts w:hint="eastAsia"/>
          <w:color w:val="auto"/>
          <w:highlight w:val="none"/>
        </w:rPr>
        <w:t>森林覆盖率</w:t>
      </w:r>
      <w:r>
        <w:rPr>
          <w:rFonts w:hint="eastAsia"/>
          <w:color w:val="auto"/>
          <w:highlight w:val="none"/>
          <w:lang w:val="en-US" w:eastAsia="zh-CN"/>
        </w:rPr>
        <w:t>稳定在</w:t>
      </w:r>
      <w:r>
        <w:rPr>
          <w:rFonts w:hint="eastAsia"/>
          <w:color w:val="auto"/>
          <w:highlight w:val="none"/>
        </w:rPr>
        <w:t>82.20%</w:t>
      </w:r>
      <w:r>
        <w:rPr>
          <w:rFonts w:hint="eastAsia"/>
          <w:color w:val="auto"/>
          <w:highlight w:val="none"/>
          <w:lang w:val="en-US" w:eastAsia="zh-CN"/>
        </w:rPr>
        <w:t>左右</w:t>
      </w:r>
      <w:r>
        <w:rPr>
          <w:rFonts w:hint="eastAsia"/>
          <w:color w:val="auto"/>
          <w:highlight w:val="none"/>
        </w:rPr>
        <w:t>，活立木蓄积量</w:t>
      </w:r>
      <w:r>
        <w:rPr>
          <w:rFonts w:hint="eastAsia"/>
          <w:color w:val="auto"/>
          <w:highlight w:val="none"/>
          <w:lang w:val="en-US" w:eastAsia="zh-CN"/>
        </w:rPr>
        <w:t>1208万</w:t>
      </w:r>
      <w:r>
        <w:rPr>
          <w:rFonts w:hint="eastAsia"/>
          <w:color w:val="auto"/>
          <w:highlight w:val="none"/>
        </w:rPr>
        <w:t>立方米</w:t>
      </w:r>
      <w:r>
        <w:rPr>
          <w:rFonts w:hint="eastAsia"/>
          <w:color w:val="auto"/>
          <w:highlight w:val="none"/>
          <w:lang w:val="en-US" w:eastAsia="zh-CN"/>
        </w:rPr>
        <w:t>以上</w:t>
      </w:r>
      <w:r>
        <w:rPr>
          <w:rFonts w:hint="eastAsia"/>
          <w:color w:val="auto"/>
          <w:highlight w:val="none"/>
        </w:rPr>
        <w:t>，生态公益林保护面积不低于73.63万亩，生物多样性保护（国家重点保护野生动植物物种保护率）95%</w:t>
      </w:r>
      <w:r>
        <w:rPr>
          <w:rFonts w:hint="eastAsia"/>
          <w:color w:val="auto"/>
          <w:highlight w:val="none"/>
          <w:lang w:val="en-US" w:eastAsia="zh-CN"/>
        </w:rPr>
        <w:t>以上</w:t>
      </w:r>
      <w:r>
        <w:rPr>
          <w:rFonts w:hint="eastAsia"/>
          <w:color w:val="auto"/>
          <w:highlight w:val="none"/>
        </w:rPr>
        <w:t>，自然保护地占国土面积比例2</w:t>
      </w:r>
      <w:r>
        <w:rPr>
          <w:rFonts w:hint="eastAsia"/>
          <w:color w:val="auto"/>
          <w:highlight w:val="none"/>
          <w:lang w:val="en-US" w:eastAsia="zh-CN"/>
        </w:rPr>
        <w:t>4.73</w:t>
      </w:r>
      <w:r>
        <w:rPr>
          <w:rFonts w:hint="eastAsia"/>
          <w:color w:val="auto"/>
          <w:highlight w:val="none"/>
        </w:rPr>
        <w:t>%</w:t>
      </w:r>
      <w:r>
        <w:rPr>
          <w:rFonts w:hint="eastAsia"/>
          <w:color w:val="auto"/>
          <w:highlight w:val="none"/>
          <w:lang w:val="en-US" w:eastAsia="zh-CN"/>
        </w:rPr>
        <w:t>保持稳定</w:t>
      </w:r>
      <w:r>
        <w:rPr>
          <w:rFonts w:hint="eastAsia"/>
          <w:color w:val="auto"/>
          <w:highlight w:val="none"/>
        </w:rPr>
        <w:t>，全市山清水秀、安全和谐的生态本底得到进一步巩固。实施桃江、渥江、濂江</w:t>
      </w:r>
      <w:r>
        <w:rPr>
          <w:rFonts w:hint="eastAsia"/>
          <w:color w:val="auto"/>
          <w:highlight w:val="none"/>
          <w:lang w:eastAsia="zh-CN"/>
        </w:rPr>
        <w:t>、</w:t>
      </w:r>
      <w:r>
        <w:rPr>
          <w:rFonts w:hint="eastAsia"/>
          <w:color w:val="auto"/>
          <w:highlight w:val="none"/>
          <w:lang w:val="en-US" w:eastAsia="zh-CN"/>
        </w:rPr>
        <w:t>太平江、洒江等主要河流水</w:t>
      </w:r>
      <w:r>
        <w:rPr>
          <w:rFonts w:hint="eastAsia"/>
          <w:color w:val="auto"/>
          <w:highlight w:val="none"/>
        </w:rPr>
        <w:t>生态保护治理。到期末，全市湿地保护率50%</w:t>
      </w:r>
      <w:r>
        <w:rPr>
          <w:rFonts w:hint="eastAsia"/>
          <w:color w:val="auto"/>
          <w:highlight w:val="none"/>
          <w:lang w:val="en-US" w:eastAsia="zh-CN"/>
        </w:rPr>
        <w:t>以上</w:t>
      </w:r>
      <w:r>
        <w:rPr>
          <w:rFonts w:hint="eastAsia"/>
          <w:color w:val="auto"/>
          <w:highlight w:val="none"/>
        </w:rPr>
        <w:t>，地表水国家考核断面水质达到或好于Ⅲ类水体比例达到省和国家要求，水土保持率达到</w:t>
      </w:r>
      <w:r>
        <w:rPr>
          <w:rFonts w:hint="eastAsia"/>
          <w:color w:val="auto"/>
          <w:highlight w:val="none"/>
          <w:lang w:val="en-US" w:eastAsia="zh-CN"/>
        </w:rPr>
        <w:t>84.12%</w:t>
      </w:r>
      <w:r>
        <w:rPr>
          <w:rFonts w:hint="eastAsia"/>
          <w:color w:val="auto"/>
          <w:highlight w:val="none"/>
        </w:rPr>
        <w:t>，基本实现“河畅水清、岸绿景美、人水和谐”的生态景观。</w:t>
      </w:r>
    </w:p>
    <w:p>
      <w:pPr>
        <w:ind w:firstLine="640"/>
        <w:rPr>
          <w:color w:val="auto"/>
          <w:highlight w:val="none"/>
        </w:rPr>
      </w:pPr>
      <w:r>
        <w:rPr>
          <w:rFonts w:hint="eastAsia"/>
          <w:b/>
          <w:bCs/>
          <w:color w:val="auto"/>
          <w:highlight w:val="none"/>
        </w:rPr>
        <w:t>农田生态质量稳中加固</w:t>
      </w:r>
      <w:r>
        <w:rPr>
          <w:rFonts w:hint="eastAsia"/>
          <w:b/>
          <w:bCs/>
          <w:color w:val="auto"/>
          <w:highlight w:val="none"/>
          <w:lang w:eastAsia="zh-CN"/>
        </w:rPr>
        <w:t>。</w:t>
      </w:r>
      <w:r>
        <w:rPr>
          <w:rFonts w:hint="eastAsia"/>
          <w:color w:val="auto"/>
          <w:highlight w:val="none"/>
        </w:rPr>
        <w:t>推进永久基本农田保护。到期末，</w:t>
      </w:r>
      <w:r>
        <w:rPr>
          <w:rFonts w:hint="eastAsia"/>
          <w:color w:val="auto"/>
          <w:highlight w:val="none"/>
          <w:lang w:val="en-US" w:eastAsia="zh-CN"/>
        </w:rPr>
        <w:t>新增高标准农田2.5万亩，</w:t>
      </w:r>
      <w:r>
        <w:rPr>
          <w:rFonts w:hint="eastAsia"/>
          <w:color w:val="auto"/>
          <w:highlight w:val="none"/>
        </w:rPr>
        <w:t>农田灌溉水有效利用系数提高到0.5</w:t>
      </w:r>
      <w:r>
        <w:rPr>
          <w:rFonts w:hint="eastAsia"/>
          <w:color w:val="auto"/>
          <w:highlight w:val="none"/>
          <w:lang w:val="en-US" w:eastAsia="zh-CN"/>
        </w:rPr>
        <w:t>3以上</w:t>
      </w:r>
      <w:r>
        <w:rPr>
          <w:rFonts w:hint="eastAsia"/>
          <w:color w:val="auto"/>
          <w:highlight w:val="none"/>
        </w:rPr>
        <w:t>。充分发挥其智能化、科技化作用，通过测土施肥，使用有机肥料、生物菌肥，绿色处理生产中产生的废料，最大限度地改善农田土壤环境、减少作物农药残留，有利于改善周边土壤和水体的生态环境。</w:t>
      </w:r>
    </w:p>
    <w:p>
      <w:pPr>
        <w:ind w:firstLine="640"/>
        <w:rPr>
          <w:color w:val="auto"/>
          <w:highlight w:val="none"/>
        </w:rPr>
      </w:pPr>
      <w:r>
        <w:rPr>
          <w:rFonts w:hint="eastAsia"/>
          <w:b/>
          <w:bCs/>
          <w:color w:val="auto"/>
          <w:highlight w:val="none"/>
        </w:rPr>
        <w:t>乡村人居环境显著改善</w:t>
      </w:r>
      <w:r>
        <w:rPr>
          <w:rFonts w:hint="eastAsia"/>
          <w:b/>
          <w:bCs/>
          <w:color w:val="auto"/>
          <w:highlight w:val="none"/>
          <w:lang w:eastAsia="zh-CN"/>
        </w:rPr>
        <w:t>。</w:t>
      </w:r>
      <w:r>
        <w:rPr>
          <w:rFonts w:hint="eastAsia"/>
          <w:color w:val="auto"/>
          <w:highlight w:val="none"/>
        </w:rPr>
        <w:t>强化农村建房规划建设管理，加强对老建筑、古街巷、特色民居和传统村落、非物质文化遗产的保护利用，打造“一村一品、一村一景、一村一韵味”。推进“四好农村路”建设和“厕所革命”工作，深入实施农村水环境治理，推进农村生活垃圾治理，梯次治理农村生活污水，大力整治农村公共空间和庭院环境，消除私搭乱建、乱堆乱放，整治“空中蜘蛛网”等各种杂乱线路，完善“七改三网”基础设施建设，因地制宜配套“8+4”公共服务设施。</w:t>
      </w:r>
    </w:p>
    <w:p>
      <w:pPr>
        <w:ind w:firstLine="640"/>
        <w:rPr>
          <w:color w:val="auto"/>
          <w:highlight w:val="none"/>
        </w:rPr>
      </w:pPr>
      <w:r>
        <w:rPr>
          <w:rFonts w:hint="eastAsia"/>
          <w:b/>
          <w:bCs/>
          <w:color w:val="auto"/>
          <w:highlight w:val="none"/>
        </w:rPr>
        <w:t>城市生态治理成效卓著</w:t>
      </w:r>
      <w:r>
        <w:rPr>
          <w:rFonts w:hint="eastAsia"/>
          <w:b/>
          <w:bCs/>
          <w:color w:val="auto"/>
          <w:highlight w:val="none"/>
          <w:lang w:eastAsia="zh-CN"/>
        </w:rPr>
        <w:t>。</w:t>
      </w:r>
      <w:r>
        <w:rPr>
          <w:rFonts w:hint="eastAsia"/>
          <w:color w:val="auto"/>
          <w:highlight w:val="none"/>
        </w:rPr>
        <w:t>统筹开展生态园林城市建设。到期末，力争全市40%的镇达到江西省生态园林镇建设标准，促进城市绿地系统分布更加均衡，结构更加合理，功能更加完善，景观更加优美，人居环境更加优美舒适、和谐宜人。努力创造宜业、宜居、宜乐、宜游的良好生态环境，推进全市城镇园林绿化事业健康发展。形成一批“空间布局合理、蓝绿空间适度、基础设施生态宜居、文明富裕和谐”的新时代乡镇建设示范点。</w:t>
      </w:r>
    </w:p>
    <w:p>
      <w:pPr>
        <w:ind w:firstLine="640"/>
        <w:rPr>
          <w:color w:val="auto"/>
          <w:highlight w:val="none"/>
        </w:rPr>
      </w:pPr>
      <w:r>
        <w:rPr>
          <w:rFonts w:hint="eastAsia"/>
          <w:b/>
          <w:bCs/>
          <w:color w:val="auto"/>
          <w:highlight w:val="none"/>
        </w:rPr>
        <w:t>矿山生态环境质量稳步向好</w:t>
      </w:r>
      <w:r>
        <w:rPr>
          <w:rFonts w:hint="eastAsia"/>
          <w:b/>
          <w:bCs/>
          <w:color w:val="auto"/>
          <w:highlight w:val="none"/>
          <w:lang w:eastAsia="zh-CN"/>
        </w:rPr>
        <w:t>。</w:t>
      </w:r>
      <w:r>
        <w:rPr>
          <w:rFonts w:hint="eastAsia"/>
          <w:color w:val="auto"/>
          <w:highlight w:val="none"/>
        </w:rPr>
        <w:t>大力开展</w:t>
      </w:r>
      <w:r>
        <w:rPr>
          <w:rFonts w:hint="eastAsia"/>
          <w:color w:val="auto"/>
          <w:highlight w:val="none"/>
          <w:lang w:val="en-US" w:eastAsia="zh-CN"/>
        </w:rPr>
        <w:t>历史遗留矿山</w:t>
      </w:r>
      <w:r>
        <w:rPr>
          <w:rFonts w:hint="eastAsia"/>
          <w:color w:val="auto"/>
          <w:highlight w:val="none"/>
        </w:rPr>
        <w:t>生态修复，</w:t>
      </w:r>
      <w:r>
        <w:rPr>
          <w:rFonts w:hint="eastAsia"/>
          <w:color w:val="auto"/>
          <w:highlight w:val="none"/>
          <w:lang w:val="en-US" w:eastAsia="zh-CN"/>
        </w:rPr>
        <w:t>积极</w:t>
      </w:r>
      <w:r>
        <w:rPr>
          <w:rFonts w:hint="eastAsia"/>
          <w:color w:val="auto"/>
          <w:highlight w:val="none"/>
        </w:rPr>
        <w:t>推进在产矿山边采边治。以矿山生态环境问题大排查大整治专项行动为契机，落实矿山企业主体责任，严格执行“三合一”方案、安全生产和环境保护标准，规范矿山企业开采行为，</w:t>
      </w:r>
      <w:r>
        <w:rPr>
          <w:rFonts w:hint="eastAsia"/>
          <w:color w:val="auto"/>
          <w:highlight w:val="none"/>
          <w:lang w:val="en-US" w:eastAsia="zh-CN"/>
        </w:rPr>
        <w:t>加强</w:t>
      </w:r>
      <w:r>
        <w:rPr>
          <w:rFonts w:hint="eastAsia"/>
          <w:color w:val="auto"/>
          <w:highlight w:val="none"/>
        </w:rPr>
        <w:t>矿山生态修复短板</w:t>
      </w:r>
      <w:r>
        <w:rPr>
          <w:rFonts w:hint="eastAsia"/>
          <w:color w:val="auto"/>
          <w:highlight w:val="none"/>
          <w:lang w:val="en-US" w:eastAsia="zh-CN"/>
        </w:rPr>
        <w:t>。</w:t>
      </w:r>
      <w:r>
        <w:rPr>
          <w:rFonts w:hint="eastAsia"/>
          <w:color w:val="auto"/>
          <w:highlight w:val="none"/>
        </w:rPr>
        <w:t>到期末，全面完成</w:t>
      </w:r>
      <w:r>
        <w:rPr>
          <w:rFonts w:hint="eastAsia"/>
          <w:color w:val="auto"/>
          <w:highlight w:val="none"/>
          <w:lang w:val="en-US" w:eastAsia="zh-CN"/>
        </w:rPr>
        <w:t>龙南市</w:t>
      </w:r>
      <w:r>
        <w:rPr>
          <w:color w:val="auto"/>
          <w:highlight w:val="none"/>
        </w:rPr>
        <w:t>24</w:t>
      </w:r>
      <w:r>
        <w:rPr>
          <w:rFonts w:hint="eastAsia"/>
          <w:color w:val="auto"/>
          <w:highlight w:val="none"/>
          <w:lang w:val="en-US" w:eastAsia="zh-CN"/>
        </w:rPr>
        <w:t>处</w:t>
      </w:r>
      <w:r>
        <w:rPr>
          <w:rFonts w:hint="eastAsia"/>
          <w:color w:val="auto"/>
          <w:highlight w:val="none"/>
        </w:rPr>
        <w:t>历史遗留矿山治理，治理面积</w:t>
      </w:r>
      <w:r>
        <w:rPr>
          <w:rFonts w:hint="eastAsia"/>
          <w:color w:val="auto"/>
          <w:highlight w:val="none"/>
          <w:lang w:val="en-US" w:eastAsia="zh-CN"/>
        </w:rPr>
        <w:t>66.44</w:t>
      </w:r>
      <w:r>
        <w:rPr>
          <w:rFonts w:hint="eastAsia"/>
          <w:color w:val="auto"/>
          <w:highlight w:val="none"/>
        </w:rPr>
        <w:t>公顷。</w:t>
      </w:r>
    </w:p>
    <w:p>
      <w:pPr>
        <w:pStyle w:val="6"/>
        <w:rPr>
          <w:color w:val="auto"/>
          <w:highlight w:val="none"/>
        </w:rPr>
      </w:pPr>
      <w:r>
        <w:rPr>
          <w:rFonts w:hint="eastAsia"/>
          <w:color w:val="auto"/>
          <w:highlight w:val="none"/>
        </w:rPr>
        <w:t>二、远景（2035年）规划目标</w:t>
      </w:r>
    </w:p>
    <w:p>
      <w:pPr>
        <w:ind w:firstLine="640"/>
        <w:rPr>
          <w:color w:val="auto"/>
          <w:highlight w:val="none"/>
        </w:rPr>
      </w:pPr>
      <w:r>
        <w:rPr>
          <w:rFonts w:hint="eastAsia"/>
          <w:color w:val="auto"/>
          <w:highlight w:val="none"/>
        </w:rPr>
        <w:t>到2035年，生态安全屏障更加牢固，各个生态系统质量明显改善，生态服务功能显著提高，生态风险得到有效管控，生态经济与绿色经济效益明显增加，生态产品供给能力增强，生态治理体系和治理能力基本实现现代化，生态文明制度更加完善，循环经济效益不断提升，传统产业绿色化转型升级更加深刻，绿色金融服务体系基本构建，区内呈现一幅生态优美，人民安居乐业之其乐融融景象。</w:t>
      </w:r>
    </w:p>
    <w:p>
      <w:pPr>
        <w:pStyle w:val="3"/>
        <w:ind w:firstLine="672"/>
        <w:rPr>
          <w:color w:val="auto"/>
          <w:highlight w:val="none"/>
        </w:rPr>
      </w:pPr>
    </w:p>
    <w:p>
      <w:pPr>
        <w:pStyle w:val="3"/>
        <w:ind w:firstLine="672"/>
        <w:rPr>
          <w:color w:val="auto"/>
          <w:highlight w:val="none"/>
        </w:rPr>
      </w:pPr>
    </w:p>
    <w:p>
      <w:pPr>
        <w:pStyle w:val="3"/>
        <w:ind w:firstLine="672"/>
        <w:rPr>
          <w:color w:val="auto"/>
          <w:highlight w:val="none"/>
        </w:rPr>
        <w:sectPr>
          <w:pgSz w:w="11906" w:h="16838"/>
          <w:pgMar w:top="1100" w:right="1800" w:bottom="1440" w:left="1800" w:header="851" w:footer="992" w:gutter="0"/>
          <w:cols w:space="425" w:num="1"/>
          <w:docGrid w:type="lines" w:linePitch="312" w:charSpace="0"/>
        </w:sectPr>
      </w:pPr>
    </w:p>
    <w:p>
      <w:pPr>
        <w:keepNext w:val="0"/>
        <w:keepLines w:val="0"/>
        <w:pageBreakBefore w:val="0"/>
        <w:widowControl w:val="0"/>
        <w:kinsoku/>
        <w:wordWrap/>
        <w:overflowPunct w:val="0"/>
        <w:topLinePunct w:val="0"/>
        <w:autoSpaceDE/>
        <w:autoSpaceDN/>
        <w:bidi w:val="0"/>
        <w:adjustRightInd/>
        <w:snapToGrid/>
        <w:spacing w:after="60" w:line="56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专栏3-1</w:t>
      </w:r>
      <w:r>
        <w:rPr>
          <w:rFonts w:hint="default" w:ascii="Times New Roman" w:hAnsi="Times New Roman" w:eastAsia="仿宋" w:cs="Times New Roman"/>
          <w:color w:val="auto"/>
          <w:sz w:val="28"/>
          <w:szCs w:val="28"/>
          <w:highlight w:val="none"/>
          <w:lang w:val="en-US" w:eastAsia="zh-CN"/>
        </w:rPr>
        <w:t xml:space="preserve">    </w:t>
      </w:r>
      <w:r>
        <w:rPr>
          <w:rFonts w:hint="default" w:ascii="Times New Roman" w:hAnsi="Times New Roman" w:eastAsia="仿宋" w:cs="Times New Roman"/>
          <w:color w:val="auto"/>
          <w:sz w:val="28"/>
          <w:szCs w:val="28"/>
          <w:highlight w:val="none"/>
        </w:rPr>
        <w:t>龙南市</w:t>
      </w:r>
      <w:r>
        <w:rPr>
          <w:rFonts w:hint="eastAsia" w:ascii="仿宋" w:hAnsi="仿宋" w:eastAsia="仿宋" w:cs="仿宋"/>
          <w:color w:val="auto"/>
          <w:sz w:val="28"/>
          <w:szCs w:val="28"/>
          <w:highlight w:val="none"/>
        </w:rPr>
        <w:t>“</w:t>
      </w:r>
      <w:r>
        <w:rPr>
          <w:rFonts w:hint="default" w:ascii="Times New Roman" w:hAnsi="Times New Roman" w:eastAsia="仿宋" w:cs="Times New Roman"/>
          <w:color w:val="auto"/>
          <w:sz w:val="28"/>
          <w:szCs w:val="28"/>
          <w:highlight w:val="none"/>
        </w:rPr>
        <w:t>十四五</w:t>
      </w:r>
      <w:r>
        <w:rPr>
          <w:rFonts w:hint="eastAsia" w:ascii="仿宋" w:hAnsi="仿宋" w:eastAsia="仿宋" w:cs="仿宋"/>
          <w:color w:val="auto"/>
          <w:sz w:val="28"/>
          <w:szCs w:val="28"/>
          <w:highlight w:val="none"/>
        </w:rPr>
        <w:t>”</w:t>
      </w:r>
      <w:r>
        <w:rPr>
          <w:rFonts w:hint="default" w:ascii="Times New Roman" w:hAnsi="Times New Roman" w:eastAsia="仿宋" w:cs="Times New Roman"/>
          <w:color w:val="auto"/>
          <w:sz w:val="28"/>
          <w:szCs w:val="28"/>
          <w:highlight w:val="none"/>
        </w:rPr>
        <w:t>国土空间生态修复指标体系</w:t>
      </w:r>
    </w:p>
    <w:tbl>
      <w:tblPr>
        <w:tblStyle w:val="22"/>
        <w:tblW w:w="8408" w:type="dxa"/>
        <w:tblInd w:w="0" w:type="dxa"/>
        <w:tblLayout w:type="fixed"/>
        <w:tblCellMar>
          <w:top w:w="39" w:type="dxa"/>
          <w:left w:w="5" w:type="dxa"/>
          <w:bottom w:w="0" w:type="dxa"/>
          <w:right w:w="6" w:type="dxa"/>
        </w:tblCellMar>
      </w:tblPr>
      <w:tblGrid>
        <w:gridCol w:w="608"/>
        <w:gridCol w:w="3156"/>
        <w:gridCol w:w="744"/>
        <w:gridCol w:w="1215"/>
        <w:gridCol w:w="1215"/>
        <w:gridCol w:w="735"/>
        <w:gridCol w:w="735"/>
      </w:tblGrid>
      <w:tr>
        <w:tblPrEx>
          <w:tblCellMar>
            <w:top w:w="39" w:type="dxa"/>
            <w:left w:w="5" w:type="dxa"/>
            <w:bottom w:w="0" w:type="dxa"/>
            <w:right w:w="6" w:type="dxa"/>
          </w:tblCellMar>
        </w:tblPrEx>
        <w:trPr>
          <w:trHeight w:val="567" w:hRule="atLeast"/>
          <w:tblHeader/>
        </w:trPr>
        <w:tc>
          <w:tcPr>
            <w:tcW w:w="608"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left="32"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3156"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指标</w:t>
            </w:r>
          </w:p>
        </w:tc>
        <w:tc>
          <w:tcPr>
            <w:tcW w:w="744"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w:t>
            </w:r>
          </w:p>
        </w:tc>
        <w:tc>
          <w:tcPr>
            <w:tcW w:w="1215"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left="78"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2020年</w:t>
            </w:r>
          </w:p>
          <w:p>
            <w:pPr>
              <w:keepNext w:val="0"/>
              <w:keepLines w:val="0"/>
              <w:pageBreakBefore w:val="0"/>
              <w:widowControl w:val="0"/>
              <w:kinsoku/>
              <w:wordWrap/>
              <w:overflowPunct w:val="0"/>
              <w:topLinePunct w:val="0"/>
              <w:autoSpaceDE/>
              <w:autoSpaceDN/>
              <w:bidi w:val="0"/>
              <w:adjustRightInd w:val="0"/>
              <w:snapToGrid w:val="0"/>
              <w:spacing w:line="240" w:lineRule="atLeast"/>
              <w:ind w:left="78"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基期值</w:t>
            </w:r>
          </w:p>
        </w:tc>
        <w:tc>
          <w:tcPr>
            <w:tcW w:w="1215"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left="78"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2025年</w:t>
            </w:r>
          </w:p>
          <w:p>
            <w:pPr>
              <w:keepNext w:val="0"/>
              <w:keepLines w:val="0"/>
              <w:pageBreakBefore w:val="0"/>
              <w:widowControl w:val="0"/>
              <w:kinsoku/>
              <w:wordWrap/>
              <w:overflowPunct w:val="0"/>
              <w:topLinePunct w:val="0"/>
              <w:autoSpaceDE/>
              <w:autoSpaceDN/>
              <w:bidi w:val="0"/>
              <w:adjustRightInd w:val="0"/>
              <w:snapToGrid w:val="0"/>
              <w:spacing w:line="240" w:lineRule="atLeast"/>
              <w:ind w:left="78"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目标值</w:t>
            </w:r>
          </w:p>
        </w:tc>
        <w:tc>
          <w:tcPr>
            <w:tcW w:w="735"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属性</w:t>
            </w:r>
          </w:p>
        </w:tc>
        <w:tc>
          <w:tcPr>
            <w:tcW w:w="735"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生态质量类型</w:t>
            </w: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生物多样性保护（国家重点保护野生动植物物种保护率）</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95</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≥95</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生态</w:t>
            </w:r>
          </w:p>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w:t>
            </w: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森林覆盖率</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82.20</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保持稳定</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约束性</w:t>
            </w:r>
          </w:p>
        </w:tc>
        <w:tc>
          <w:tcPr>
            <w:tcW w:w="73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活立木总蓄积</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万</w:t>
            </w:r>
            <w:r>
              <w:rPr>
                <w:rFonts w:hint="eastAsia" w:ascii="仿宋" w:hAnsi="仿宋" w:eastAsia="仿宋" w:cs="仿宋"/>
                <w:color w:val="auto"/>
                <w:sz w:val="24"/>
                <w:szCs w:val="24"/>
                <w:highlight w:val="none"/>
              </w:rPr>
              <w:t>立方米</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1065</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≥1208</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约束性</w:t>
            </w:r>
          </w:p>
        </w:tc>
        <w:tc>
          <w:tcPr>
            <w:tcW w:w="73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自然保护地面积占国土面积比例</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4.73</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保持稳定</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生态保护红线占国土面积比例</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w:t>
            </w:r>
            <w:r>
              <w:rPr>
                <w:rFonts w:hint="eastAsia" w:ascii="仿宋" w:hAnsi="仿宋" w:cs="仿宋"/>
                <w:color w:val="auto"/>
                <w:sz w:val="24"/>
                <w:szCs w:val="24"/>
                <w:highlight w:val="none"/>
                <w:lang w:val="en-US" w:eastAsia="zh-CN"/>
              </w:rPr>
              <w:t>17</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cs="仿宋"/>
                <w:color w:val="auto"/>
                <w:sz w:val="24"/>
                <w:szCs w:val="24"/>
                <w:highlight w:val="none"/>
                <w:lang w:val="en-US" w:eastAsia="zh-CN"/>
              </w:rPr>
              <w:t>保持稳定</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预期性</w:t>
            </w:r>
          </w:p>
        </w:tc>
        <w:tc>
          <w:tcPr>
            <w:tcW w:w="73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天然林面积保有量</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万亩</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111.68</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111.68</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7</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新增水土流失综合治理面积</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平方千米</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96.8</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70</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cs="仿宋"/>
                <w:color w:val="auto"/>
                <w:sz w:val="24"/>
                <w:szCs w:val="24"/>
                <w:highlight w:val="none"/>
                <w:lang w:val="en-US" w:eastAsia="zh-CN"/>
              </w:rPr>
              <w:t>8</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水土保持率</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3</w:t>
            </w:r>
            <w:r>
              <w:rPr>
                <w:rFonts w:hint="eastAsia" w:ascii="仿宋" w:hAnsi="仿宋" w:cs="仿宋"/>
                <w:color w:val="auto"/>
                <w:sz w:val="24"/>
                <w:szCs w:val="24"/>
                <w:highlight w:val="none"/>
                <w:lang w:val="en-US" w:eastAsia="zh-CN"/>
              </w:rPr>
              <w:t>.23</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kern w:val="0"/>
                <w:sz w:val="24"/>
                <w:szCs w:val="24"/>
                <w:highlight w:val="none"/>
                <w:lang w:val="en-US" w:eastAsia="zh-CN"/>
              </w:rPr>
              <w:t>84.12</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cs="仿宋"/>
                <w:color w:val="auto"/>
                <w:sz w:val="24"/>
                <w:szCs w:val="24"/>
                <w:highlight w:val="none"/>
                <w:lang w:val="en-US" w:eastAsia="zh-CN"/>
              </w:rPr>
              <w:t>9</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湿地保护率</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cs="仿宋"/>
                <w:color w:val="auto"/>
                <w:sz w:val="24"/>
                <w:szCs w:val="24"/>
                <w:highlight w:val="none"/>
                <w:lang w:val="en-US" w:eastAsia="zh-CN"/>
              </w:rPr>
              <w:t>3.44</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≥50</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10</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地表水国家考核断面水质达到或好于Ⅲ类水体比例</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100</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保持稳定</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约束性</w:t>
            </w:r>
          </w:p>
        </w:tc>
        <w:tc>
          <w:tcPr>
            <w:tcW w:w="73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11</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森林植被碳储量</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万</w:t>
            </w:r>
            <w:r>
              <w:rPr>
                <w:rFonts w:hint="eastAsia" w:ascii="仿宋" w:hAnsi="仿宋" w:eastAsia="仿宋" w:cs="仿宋"/>
                <w:color w:val="auto"/>
                <w:sz w:val="24"/>
                <w:szCs w:val="24"/>
                <w:highlight w:val="none"/>
              </w:rPr>
              <w:t>吨</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532.5</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604</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2</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农田灌溉水有效利用系数</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系数</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0.5</w:t>
            </w:r>
            <w:r>
              <w:rPr>
                <w:rFonts w:hint="eastAsia" w:ascii="仿宋" w:hAnsi="仿宋" w:eastAsia="仿宋" w:cs="仿宋"/>
                <w:color w:val="auto"/>
                <w:sz w:val="24"/>
                <w:szCs w:val="24"/>
                <w:highlight w:val="none"/>
                <w:lang w:val="en-US" w:eastAsia="zh-CN"/>
              </w:rPr>
              <w:t>2</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0.5</w:t>
            </w:r>
            <w:r>
              <w:rPr>
                <w:rFonts w:hint="eastAsia" w:ascii="仿宋" w:hAnsi="仿宋" w:eastAsia="仿宋" w:cs="仿宋"/>
                <w:color w:val="auto"/>
                <w:sz w:val="24"/>
                <w:szCs w:val="24"/>
                <w:highlight w:val="none"/>
                <w:lang w:val="en-US" w:eastAsia="zh-CN"/>
              </w:rPr>
              <w:t>3</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农田生态质量</w:t>
            </w: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13</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新增高标准农田面积</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万亩</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8.6</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cs="仿宋"/>
                <w:color w:val="auto"/>
                <w:kern w:val="0"/>
                <w:sz w:val="24"/>
                <w:szCs w:val="24"/>
                <w:highlight w:val="none"/>
                <w:lang w:val="en-US" w:eastAsia="zh-CN"/>
              </w:rPr>
              <w:t>2.5</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约束性</w:t>
            </w:r>
          </w:p>
        </w:tc>
        <w:tc>
          <w:tcPr>
            <w:tcW w:w="73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4</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省级生态园林镇占比</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40</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城市生态治理</w:t>
            </w: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5</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矿山恢复治理面积</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公顷</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884</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66.44</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矿山生态质量</w:t>
            </w:r>
          </w:p>
        </w:tc>
      </w:tr>
      <w:tr>
        <w:tblPrEx>
          <w:tblCellMar>
            <w:top w:w="39" w:type="dxa"/>
            <w:left w:w="5" w:type="dxa"/>
            <w:bottom w:w="0" w:type="dxa"/>
            <w:right w:w="6" w:type="dxa"/>
          </w:tblCellMar>
        </w:tblPrEx>
        <w:trPr>
          <w:trHeight w:val="567" w:hRule="atLeast"/>
        </w:trPr>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cs="仿宋"/>
                <w:color w:val="auto"/>
                <w:sz w:val="24"/>
                <w:szCs w:val="24"/>
                <w:highlight w:val="none"/>
                <w:lang w:val="en-US" w:eastAsia="zh-CN"/>
              </w:rPr>
              <w:t>6</w:t>
            </w:r>
          </w:p>
        </w:tc>
        <w:tc>
          <w:tcPr>
            <w:tcW w:w="3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right="2"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废弃矿山治理数量</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处</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28</w:t>
            </w:r>
          </w:p>
        </w:tc>
        <w:tc>
          <w:tcPr>
            <w:tcW w:w="1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预期性</w:t>
            </w: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rPr>
                <w:rFonts w:hint="eastAsia" w:ascii="仿宋" w:hAnsi="仿宋" w:eastAsia="仿宋" w:cs="仿宋"/>
                <w:color w:val="auto"/>
                <w:sz w:val="24"/>
                <w:szCs w:val="24"/>
                <w:highlight w:val="none"/>
              </w:rPr>
            </w:pPr>
          </w:p>
        </w:tc>
      </w:tr>
    </w:tbl>
    <w:p>
      <w:pPr>
        <w:keepNext/>
        <w:keepLines/>
        <w:pageBreakBefore w:val="0"/>
        <w:widowControl w:val="0"/>
        <w:kinsoku/>
        <w:wordWrap/>
        <w:overflowPunct w:val="0"/>
        <w:topLinePunct w:val="0"/>
        <w:autoSpaceDE/>
        <w:autoSpaceDN/>
        <w:bidi w:val="0"/>
        <w:adjustRightInd w:val="0"/>
        <w:snapToGrid w:val="0"/>
        <w:spacing w:line="240" w:lineRule="atLeast"/>
        <w:jc w:val="left"/>
        <w:textAlignment w:val="auto"/>
        <w:outlineLvl w:val="9"/>
        <w:rPr>
          <w:rFonts w:hint="default" w:ascii="Times New Roman" w:hAnsi="Times New Roman" w:eastAsia="黑体" w:cs="Times New Roman"/>
          <w:color w:val="auto"/>
          <w:sz w:val="30"/>
          <w:szCs w:val="30"/>
          <w:highlight w:val="none"/>
        </w:rPr>
      </w:pPr>
    </w:p>
    <w:p>
      <w:pPr>
        <w:keepNext/>
        <w:keepLines/>
        <w:pageBreakBefore w:val="0"/>
        <w:widowControl w:val="0"/>
        <w:kinsoku/>
        <w:wordWrap/>
        <w:overflowPunct w:val="0"/>
        <w:topLinePunct w:val="0"/>
        <w:autoSpaceDE/>
        <w:autoSpaceDN/>
        <w:bidi w:val="0"/>
        <w:adjustRightInd w:val="0"/>
        <w:snapToGrid w:val="0"/>
        <w:spacing w:line="240" w:lineRule="atLeast"/>
        <w:jc w:val="left"/>
        <w:textAlignment w:val="auto"/>
        <w:outlineLvl w:val="9"/>
        <w:rPr>
          <w:rFonts w:hint="default" w:ascii="Times New Roman" w:hAnsi="Times New Roman" w:eastAsia="黑体" w:cs="Times New Roman"/>
          <w:color w:val="auto"/>
          <w:sz w:val="30"/>
          <w:szCs w:val="30"/>
          <w:highlight w:val="none"/>
        </w:rPr>
        <w:sectPr>
          <w:pgSz w:w="11906" w:h="16838"/>
          <w:pgMar w:top="1100" w:right="1800" w:bottom="1440" w:left="1800" w:header="851" w:footer="992" w:gutter="0"/>
          <w:cols w:space="425" w:num="1"/>
          <w:docGrid w:type="lines" w:linePitch="312" w:charSpace="0"/>
        </w:sectPr>
      </w:pPr>
      <w:r>
        <w:rPr>
          <w:rFonts w:hint="default" w:ascii="Times New Roman" w:hAnsi="Times New Roman" w:eastAsia="黑体" w:cs="Times New Roman"/>
          <w:color w:val="auto"/>
          <w:sz w:val="30"/>
          <w:szCs w:val="30"/>
          <w:highlight w:val="none"/>
        </w:rPr>
        <w:br w:type="page"/>
      </w:r>
    </w:p>
    <w:p>
      <w:pPr>
        <w:keepNext/>
        <w:keepLines/>
        <w:pageBreakBefore w:val="0"/>
        <w:widowControl w:val="0"/>
        <w:kinsoku/>
        <w:wordWrap/>
        <w:overflowPunct w:val="0"/>
        <w:topLinePunct w:val="0"/>
        <w:autoSpaceDE/>
        <w:autoSpaceDN/>
        <w:bidi w:val="0"/>
        <w:adjustRightInd w:val="0"/>
        <w:snapToGrid w:val="0"/>
        <w:spacing w:line="240" w:lineRule="atLeast"/>
        <w:ind w:firstLine="0" w:firstLineChars="0"/>
        <w:jc w:val="center"/>
        <w:textAlignment w:val="auto"/>
        <w:outlineLvl w:val="0"/>
        <w:rPr>
          <w:rFonts w:hint="eastAsia" w:ascii="Times New Roman" w:hAnsi="Times New Roman" w:eastAsia="仿宋" w:cstheme="minorBidi"/>
          <w:b/>
          <w:bCs/>
          <w:color w:val="auto"/>
          <w:kern w:val="44"/>
          <w:sz w:val="36"/>
          <w:szCs w:val="44"/>
          <w:highlight w:val="none"/>
          <w:lang w:val="en-US" w:eastAsia="zh-CN" w:bidi="ar-SA"/>
        </w:rPr>
      </w:pPr>
      <w:bookmarkStart w:id="34" w:name="_Toc4371"/>
      <w:bookmarkStart w:id="35" w:name="_Toc16616"/>
      <w:r>
        <w:rPr>
          <w:rFonts w:hint="eastAsia" w:ascii="Times New Roman" w:hAnsi="Times New Roman" w:eastAsia="仿宋" w:cstheme="minorBidi"/>
          <w:b/>
          <w:bCs/>
          <w:color w:val="auto"/>
          <w:kern w:val="44"/>
          <w:sz w:val="36"/>
          <w:szCs w:val="44"/>
          <w:highlight w:val="none"/>
          <w:lang w:val="en-US" w:eastAsia="zh-CN" w:bidi="ar-SA"/>
        </w:rPr>
        <w:t>第四章 国土空间生态修复格局</w:t>
      </w:r>
      <w:bookmarkEnd w:id="34"/>
      <w:bookmarkEnd w:id="35"/>
    </w:p>
    <w:p>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color w:val="auto"/>
          <w:highlight w:val="none"/>
        </w:rPr>
      </w:pPr>
    </w:p>
    <w:p>
      <w:pPr>
        <w:pStyle w:val="5"/>
        <w:rPr>
          <w:color w:val="auto"/>
          <w:highlight w:val="none"/>
        </w:rPr>
      </w:pPr>
      <w:bookmarkStart w:id="36" w:name="_Toc6416"/>
      <w:bookmarkStart w:id="37" w:name="_Toc8171"/>
      <w:r>
        <w:rPr>
          <w:rFonts w:hint="eastAsia"/>
          <w:color w:val="auto"/>
          <w:highlight w:val="none"/>
        </w:rPr>
        <w:t>第一节 总体格局</w:t>
      </w:r>
      <w:bookmarkEnd w:id="36"/>
      <w:bookmarkEnd w:id="37"/>
    </w:p>
    <w:p>
      <w:pPr>
        <w:ind w:firstLine="640"/>
        <w:rPr>
          <w:rFonts w:hint="eastAsia" w:eastAsia="仿宋"/>
          <w:color w:val="auto"/>
          <w:highlight w:val="none"/>
          <w:lang w:val="en-US" w:eastAsia="zh-CN"/>
        </w:rPr>
      </w:pPr>
      <w:r>
        <w:rPr>
          <w:rFonts w:hint="eastAsia"/>
          <w:color w:val="auto"/>
          <w:highlight w:val="none"/>
          <w:lang w:val="en-US" w:eastAsia="zh-CN"/>
        </w:rPr>
        <w:t>为</w:t>
      </w:r>
      <w:r>
        <w:rPr>
          <w:rFonts w:hint="eastAsia"/>
          <w:color w:val="auto"/>
          <w:highlight w:val="none"/>
        </w:rPr>
        <w:t>充分贯彻落实国家“两屏三带”中的“南方丘陵山地带”国家生态安全战略格局和江西省“一带、二核、三网、六区”中的赣南山地丘陵水源涵养保护修复核心区的总体布局，以及赣州市“一带、三屏、三源、多组团”的生态保护修复格局，依托龙南市的自然本底</w:t>
      </w:r>
      <w:r>
        <w:rPr>
          <w:rFonts w:hint="eastAsia"/>
          <w:color w:val="auto"/>
          <w:highlight w:val="none"/>
          <w:lang w:val="en-US" w:eastAsia="zh-CN"/>
        </w:rPr>
        <w:t>和“一屏一区两脉五河”的生态安全格局</w:t>
      </w:r>
      <w:r>
        <w:rPr>
          <w:rFonts w:hint="eastAsia"/>
          <w:color w:val="auto"/>
          <w:highlight w:val="none"/>
        </w:rPr>
        <w:t>，奉行山水林田湖草生命共同体理念，聚焦区内生态系统质量提升、生态系统稳定性提高、生态系统功能强化的生态修复总目标，统筹山</w:t>
      </w:r>
      <w:r>
        <w:rPr>
          <w:rFonts w:hint="eastAsia"/>
          <w:color w:val="auto"/>
          <w:highlight w:val="none"/>
          <w:lang w:val="en-US" w:eastAsia="zh-CN"/>
        </w:rPr>
        <w:t>地</w:t>
      </w:r>
      <w:r>
        <w:rPr>
          <w:rFonts w:hint="eastAsia"/>
          <w:color w:val="auto"/>
          <w:highlight w:val="none"/>
        </w:rPr>
        <w:t>与水流域生态系统的完整性、生态空间异质性、生态系统的循环发展性、人类社会与自然环境的协调性、地理单元的连续性、社会经济发展的可持续性，</w:t>
      </w:r>
      <w:r>
        <w:rPr>
          <w:rFonts w:hint="eastAsia"/>
          <w:color w:val="auto"/>
          <w:highlight w:val="none"/>
          <w:lang w:val="en-US" w:eastAsia="zh-CN"/>
        </w:rPr>
        <w:t>在紧密衔接省、市</w:t>
      </w:r>
      <w:r>
        <w:rPr>
          <w:rFonts w:hint="eastAsia" w:ascii="Times New Roman" w:hAnsi="Times New Roman" w:eastAsia="仿宋" w:cs="Times New Roman"/>
          <w:color w:val="auto"/>
          <w:kern w:val="2"/>
          <w:sz w:val="32"/>
          <w:szCs w:val="28"/>
          <w:highlight w:val="none"/>
          <w:lang w:val="en-US" w:eastAsia="zh-CN"/>
        </w:rPr>
        <w:t>上位规划和</w:t>
      </w:r>
      <w:r>
        <w:rPr>
          <w:rFonts w:hint="eastAsia" w:cs="Times New Roman"/>
          <w:color w:val="auto"/>
          <w:kern w:val="2"/>
          <w:sz w:val="32"/>
          <w:szCs w:val="28"/>
          <w:highlight w:val="none"/>
          <w:lang w:val="en-US" w:eastAsia="zh-CN"/>
        </w:rPr>
        <w:t>龙南市</w:t>
      </w:r>
      <w:r>
        <w:rPr>
          <w:rFonts w:hint="eastAsia" w:ascii="Times New Roman" w:hAnsi="Times New Roman" w:eastAsia="仿宋" w:cs="Times New Roman"/>
          <w:color w:val="auto"/>
          <w:kern w:val="2"/>
          <w:sz w:val="32"/>
          <w:szCs w:val="28"/>
          <w:highlight w:val="none"/>
          <w:lang w:val="en-US" w:eastAsia="zh-CN"/>
        </w:rPr>
        <w:t>本级相关行业部门规划的基础上，</w:t>
      </w:r>
      <w:r>
        <w:rPr>
          <w:rFonts w:hint="eastAsia"/>
          <w:color w:val="auto"/>
          <w:highlight w:val="none"/>
        </w:rPr>
        <w:t>将龙南市国土空间生态保护修复格局</w:t>
      </w:r>
      <w:r>
        <w:rPr>
          <w:rFonts w:hint="eastAsia"/>
          <w:color w:val="auto"/>
          <w:highlight w:val="none"/>
          <w:lang w:val="en-US" w:eastAsia="zh-CN"/>
        </w:rPr>
        <w:t>确定为“</w:t>
      </w:r>
      <w:r>
        <w:rPr>
          <w:rFonts w:hint="eastAsia"/>
          <w:b/>
          <w:bCs/>
          <w:color w:val="auto"/>
          <w:highlight w:val="none"/>
          <w:lang w:val="en-US" w:eastAsia="zh-CN"/>
        </w:rPr>
        <w:t>一屏三网三区</w:t>
      </w:r>
      <w:r>
        <w:rPr>
          <w:rFonts w:hint="eastAsia"/>
          <w:color w:val="auto"/>
          <w:highlight w:val="none"/>
          <w:lang w:val="en-US" w:eastAsia="zh-CN"/>
        </w:rPr>
        <w:t>”。</w:t>
      </w:r>
    </w:p>
    <w:p>
      <w:pPr>
        <w:pStyle w:val="3"/>
        <w:keepNext w:val="0"/>
        <w:keepLines w:val="0"/>
        <w:pageBreakBefore w:val="0"/>
        <w:widowControl w:val="0"/>
        <w:kinsoku/>
        <w:wordWrap/>
        <w:overflowPunct w:val="0"/>
        <w:topLinePunct w:val="0"/>
        <w:autoSpaceDE/>
        <w:autoSpaceDN/>
        <w:bidi w:val="0"/>
        <w:adjustRightInd/>
        <w:snapToGrid/>
        <w:spacing w:line="312" w:lineRule="auto"/>
        <w:ind w:firstLine="0" w:firstLineChars="0"/>
        <w:textAlignment w:val="auto"/>
        <w:rPr>
          <w:rFonts w:ascii="仿宋" w:hAnsi="仿宋" w:cs="仿宋"/>
          <w:color w:val="auto"/>
          <w:highlight w:val="none"/>
        </w:rPr>
      </w:pPr>
      <w:r>
        <w:rPr>
          <w:rFonts w:hint="eastAsia" w:ascii="仿宋" w:hAnsi="仿宋" w:cs="仿宋"/>
          <w:b/>
          <w:bCs/>
          <w:color w:val="auto"/>
          <w:highlight w:val="none"/>
        </w:rPr>
        <w:t>一屏</w:t>
      </w:r>
      <w:r>
        <w:rPr>
          <w:rFonts w:hint="eastAsia" w:ascii="仿宋" w:hAnsi="仿宋" w:cs="仿宋"/>
          <w:color w:val="auto"/>
          <w:highlight w:val="none"/>
        </w:rPr>
        <w:t>：南岭－九连山脉自然保护地生态屏障</w:t>
      </w:r>
    </w:p>
    <w:p>
      <w:pPr>
        <w:pStyle w:val="3"/>
        <w:keepNext w:val="0"/>
        <w:keepLines w:val="0"/>
        <w:pageBreakBefore w:val="0"/>
        <w:widowControl w:val="0"/>
        <w:kinsoku/>
        <w:wordWrap/>
        <w:overflowPunct w:val="0"/>
        <w:topLinePunct w:val="0"/>
        <w:autoSpaceDE/>
        <w:autoSpaceDN/>
        <w:bidi w:val="0"/>
        <w:adjustRightInd/>
        <w:snapToGrid/>
        <w:spacing w:line="312" w:lineRule="auto"/>
        <w:ind w:firstLine="0" w:firstLineChars="0"/>
        <w:textAlignment w:val="auto"/>
        <w:rPr>
          <w:rFonts w:ascii="仿宋" w:hAnsi="仿宋" w:cs="仿宋"/>
          <w:color w:val="auto"/>
          <w:highlight w:val="none"/>
        </w:rPr>
      </w:pPr>
      <w:r>
        <w:rPr>
          <w:rFonts w:hint="eastAsia" w:ascii="仿宋" w:hAnsi="仿宋" w:cs="仿宋"/>
          <w:b/>
          <w:bCs/>
          <w:color w:val="auto"/>
          <w:highlight w:val="none"/>
        </w:rPr>
        <w:t>三网</w:t>
      </w:r>
      <w:r>
        <w:rPr>
          <w:rFonts w:hint="eastAsia" w:ascii="仿宋" w:hAnsi="仿宋" w:cs="仿宋"/>
          <w:color w:val="auto"/>
          <w:highlight w:val="none"/>
        </w:rPr>
        <w:t>：交通道路绿网</w:t>
      </w:r>
    </w:p>
    <w:p>
      <w:pPr>
        <w:pStyle w:val="3"/>
        <w:keepNext w:val="0"/>
        <w:keepLines w:val="0"/>
        <w:pageBreakBefore w:val="0"/>
        <w:widowControl w:val="0"/>
        <w:kinsoku/>
        <w:wordWrap/>
        <w:overflowPunct w:val="0"/>
        <w:topLinePunct w:val="0"/>
        <w:autoSpaceDE/>
        <w:autoSpaceDN/>
        <w:bidi w:val="0"/>
        <w:adjustRightInd/>
        <w:snapToGrid/>
        <w:spacing w:line="312" w:lineRule="auto"/>
        <w:ind w:left="0" w:leftChars="0" w:firstLine="957" w:firstLineChars="285"/>
        <w:textAlignment w:val="auto"/>
        <w:rPr>
          <w:rFonts w:ascii="仿宋" w:hAnsi="仿宋" w:cs="仿宋"/>
          <w:color w:val="auto"/>
          <w:highlight w:val="none"/>
        </w:rPr>
      </w:pPr>
      <w:r>
        <w:rPr>
          <w:rFonts w:hint="eastAsia" w:ascii="仿宋" w:hAnsi="仿宋" w:cs="仿宋"/>
          <w:color w:val="auto"/>
          <w:highlight w:val="none"/>
        </w:rPr>
        <w:t>河流水系蓝网</w:t>
      </w:r>
    </w:p>
    <w:p>
      <w:pPr>
        <w:pStyle w:val="3"/>
        <w:keepNext w:val="0"/>
        <w:keepLines w:val="0"/>
        <w:pageBreakBefore w:val="0"/>
        <w:widowControl w:val="0"/>
        <w:kinsoku/>
        <w:wordWrap/>
        <w:overflowPunct w:val="0"/>
        <w:topLinePunct w:val="0"/>
        <w:autoSpaceDE/>
        <w:autoSpaceDN/>
        <w:bidi w:val="0"/>
        <w:adjustRightInd/>
        <w:snapToGrid/>
        <w:spacing w:line="312" w:lineRule="auto"/>
        <w:ind w:left="0" w:leftChars="0" w:firstLine="957" w:firstLineChars="285"/>
        <w:textAlignment w:val="auto"/>
        <w:rPr>
          <w:rFonts w:ascii="仿宋" w:hAnsi="仿宋" w:cs="仿宋"/>
          <w:color w:val="auto"/>
          <w:highlight w:val="none"/>
        </w:rPr>
      </w:pPr>
      <w:r>
        <w:rPr>
          <w:rFonts w:hint="eastAsia" w:ascii="仿宋" w:hAnsi="仿宋" w:cs="仿宋"/>
          <w:color w:val="auto"/>
          <w:highlight w:val="none"/>
        </w:rPr>
        <w:t>自然保护地网</w:t>
      </w:r>
    </w:p>
    <w:p>
      <w:pPr>
        <w:pStyle w:val="3"/>
        <w:keepNext w:val="0"/>
        <w:keepLines w:val="0"/>
        <w:pageBreakBefore w:val="0"/>
        <w:widowControl w:val="0"/>
        <w:kinsoku/>
        <w:wordWrap/>
        <w:overflowPunct w:val="0"/>
        <w:topLinePunct w:val="0"/>
        <w:autoSpaceDE/>
        <w:autoSpaceDN/>
        <w:bidi w:val="0"/>
        <w:adjustRightInd/>
        <w:snapToGrid/>
        <w:spacing w:line="312" w:lineRule="auto"/>
        <w:ind w:firstLine="0" w:firstLineChars="0"/>
        <w:textAlignment w:val="auto"/>
        <w:rPr>
          <w:rFonts w:ascii="仿宋" w:hAnsi="仿宋" w:cs="仿宋"/>
          <w:color w:val="auto"/>
          <w:highlight w:val="none"/>
        </w:rPr>
      </w:pPr>
      <w:r>
        <w:rPr>
          <w:rFonts w:hint="eastAsia" w:ascii="仿宋" w:hAnsi="仿宋" w:cs="仿宋"/>
          <w:b/>
          <w:bCs/>
          <w:color w:val="auto"/>
          <w:highlight w:val="none"/>
        </w:rPr>
        <w:t>三区：</w:t>
      </w:r>
      <w:r>
        <w:rPr>
          <w:rFonts w:hint="eastAsia" w:ascii="仿宋" w:hAnsi="仿宋" w:cs="仿宋"/>
          <w:color w:val="auto"/>
          <w:highlight w:val="none"/>
        </w:rPr>
        <w:t>北部濂江流域水土保持与城市工矿生态修复区</w:t>
      </w:r>
    </w:p>
    <w:p>
      <w:pPr>
        <w:pStyle w:val="3"/>
        <w:keepNext w:val="0"/>
        <w:keepLines w:val="0"/>
        <w:pageBreakBefore w:val="0"/>
        <w:widowControl w:val="0"/>
        <w:kinsoku/>
        <w:wordWrap/>
        <w:overflowPunct w:val="0"/>
        <w:topLinePunct w:val="0"/>
        <w:autoSpaceDE/>
        <w:autoSpaceDN/>
        <w:bidi w:val="0"/>
        <w:adjustRightInd/>
        <w:snapToGrid/>
        <w:spacing w:line="312" w:lineRule="auto"/>
        <w:ind w:firstLine="1008" w:firstLineChars="300"/>
        <w:textAlignment w:val="auto"/>
        <w:rPr>
          <w:rFonts w:ascii="仿宋" w:hAnsi="仿宋" w:cs="仿宋"/>
          <w:color w:val="auto"/>
          <w:highlight w:val="none"/>
        </w:rPr>
      </w:pPr>
      <w:r>
        <w:rPr>
          <w:rFonts w:hint="eastAsia" w:ascii="仿宋" w:hAnsi="仿宋" w:cs="仿宋"/>
          <w:color w:val="auto"/>
          <w:highlight w:val="none"/>
        </w:rPr>
        <w:t>中部桃江、渥江流域矿山与农田生态修复区</w:t>
      </w:r>
    </w:p>
    <w:p>
      <w:pPr>
        <w:pStyle w:val="3"/>
        <w:keepNext w:val="0"/>
        <w:keepLines w:val="0"/>
        <w:pageBreakBefore w:val="0"/>
        <w:widowControl w:val="0"/>
        <w:kinsoku/>
        <w:wordWrap/>
        <w:overflowPunct w:val="0"/>
        <w:topLinePunct w:val="0"/>
        <w:autoSpaceDE/>
        <w:autoSpaceDN/>
        <w:bidi w:val="0"/>
        <w:adjustRightInd/>
        <w:snapToGrid/>
        <w:spacing w:line="312" w:lineRule="auto"/>
        <w:ind w:firstLine="1008" w:firstLineChars="300"/>
        <w:textAlignment w:val="auto"/>
        <w:rPr>
          <w:rFonts w:ascii="仿宋" w:hAnsi="仿宋" w:cs="仿宋"/>
          <w:color w:val="auto"/>
          <w:highlight w:val="none"/>
        </w:rPr>
      </w:pPr>
      <w:r>
        <w:rPr>
          <w:rFonts w:hint="eastAsia" w:ascii="仿宋" w:hAnsi="仿宋" w:cs="仿宋"/>
          <w:color w:val="auto"/>
          <w:highlight w:val="none"/>
        </w:rPr>
        <w:t>南部山地丘陵水源涵养与生物多样性生态修复区</w:t>
      </w:r>
    </w:p>
    <w:p>
      <w:pPr>
        <w:pStyle w:val="5"/>
        <w:rPr>
          <w:color w:val="auto"/>
          <w:sz w:val="28"/>
          <w:highlight w:val="none"/>
        </w:rPr>
      </w:pPr>
      <w:bookmarkStart w:id="38" w:name="_Toc2517"/>
      <w:bookmarkStart w:id="39" w:name="_Toc22613"/>
      <w:bookmarkStart w:id="40" w:name="_Toc1207"/>
      <w:r>
        <w:rPr>
          <w:rFonts w:hint="eastAsia"/>
          <w:color w:val="auto"/>
          <w:highlight w:val="none"/>
        </w:rPr>
        <w:t>第二节 修复分区</w:t>
      </w:r>
      <w:bookmarkEnd w:id="38"/>
      <w:bookmarkEnd w:id="39"/>
    </w:p>
    <w:p>
      <w:pPr>
        <w:ind w:firstLine="640"/>
        <w:rPr>
          <w:color w:val="auto"/>
          <w:highlight w:val="none"/>
        </w:rPr>
      </w:pPr>
      <w:r>
        <w:rPr>
          <w:color w:val="auto"/>
          <w:highlight w:val="none"/>
        </w:rPr>
        <w:t>基于区域的生态功能重要性、主体功能定位、生态保护红线以及重要生态问题分布格局，</w:t>
      </w:r>
      <w:r>
        <w:rPr>
          <w:rFonts w:hint="eastAsia"/>
          <w:color w:val="auto"/>
          <w:highlight w:val="none"/>
        </w:rPr>
        <w:t>利用ArcGIS软件构建生态系统评价模型，开展生态功能重要性评价。在此基础上，通过叠加分析得出生态系统功能综合性评价结论；并</w:t>
      </w:r>
      <w:r>
        <w:rPr>
          <w:color w:val="auto"/>
          <w:highlight w:val="none"/>
        </w:rPr>
        <w:t>考虑自然地理单元的完整性，最终确定将</w:t>
      </w:r>
      <w:r>
        <w:rPr>
          <w:rFonts w:hint="eastAsia"/>
          <w:color w:val="auto"/>
          <w:highlight w:val="none"/>
        </w:rPr>
        <w:t>龙南市</w:t>
      </w:r>
      <w:r>
        <w:rPr>
          <w:color w:val="auto"/>
          <w:highlight w:val="none"/>
        </w:rPr>
        <w:t>划分为</w:t>
      </w:r>
      <w:r>
        <w:rPr>
          <w:rFonts w:hint="eastAsia"/>
          <w:color w:val="auto"/>
          <w:highlight w:val="none"/>
        </w:rPr>
        <w:t>3大</w:t>
      </w:r>
      <w:r>
        <w:rPr>
          <w:color w:val="auto"/>
          <w:highlight w:val="none"/>
        </w:rPr>
        <w:t>生态保护修复片区，分别为</w:t>
      </w:r>
      <w:r>
        <w:rPr>
          <w:rFonts w:hint="eastAsia"/>
          <w:color w:val="auto"/>
          <w:highlight w:val="none"/>
        </w:rPr>
        <w:t>北部濂江流域水土保持与城市工矿生态修复区</w:t>
      </w:r>
      <w:r>
        <w:rPr>
          <w:color w:val="auto"/>
          <w:highlight w:val="none"/>
        </w:rPr>
        <w:t>、</w:t>
      </w:r>
      <w:r>
        <w:rPr>
          <w:rFonts w:hint="eastAsia"/>
          <w:color w:val="auto"/>
          <w:highlight w:val="none"/>
        </w:rPr>
        <w:t>中部桃江、渥江流域矿山与农田生态修复区</w:t>
      </w:r>
      <w:r>
        <w:rPr>
          <w:color w:val="auto"/>
          <w:highlight w:val="none"/>
        </w:rPr>
        <w:t>、</w:t>
      </w:r>
      <w:r>
        <w:rPr>
          <w:rFonts w:hint="eastAsia"/>
          <w:color w:val="auto"/>
          <w:highlight w:val="none"/>
        </w:rPr>
        <w:t>南部山地丘陵水源涵养与生物多样性生态修复区</w:t>
      </w:r>
      <w:r>
        <w:rPr>
          <w:color w:val="auto"/>
          <w:highlight w:val="none"/>
        </w:rPr>
        <w:t>。</w:t>
      </w:r>
    </w:p>
    <w:p>
      <w:pPr>
        <w:pStyle w:val="6"/>
        <w:rPr>
          <w:color w:val="auto"/>
          <w:highlight w:val="none"/>
        </w:rPr>
      </w:pPr>
      <w:r>
        <w:rPr>
          <w:rFonts w:hint="eastAsia"/>
          <w:color w:val="auto"/>
          <w:highlight w:val="none"/>
        </w:rPr>
        <w:t>一、</w:t>
      </w:r>
      <w:bookmarkEnd w:id="40"/>
      <w:r>
        <w:rPr>
          <w:rFonts w:hint="eastAsia"/>
          <w:color w:val="auto"/>
          <w:highlight w:val="none"/>
        </w:rPr>
        <w:t>北部濂江流域水土保持与城市工矿生态修复区</w:t>
      </w:r>
    </w:p>
    <w:p>
      <w:pPr>
        <w:ind w:firstLine="640"/>
        <w:rPr>
          <w:color w:val="auto"/>
          <w:highlight w:val="none"/>
        </w:rPr>
      </w:pPr>
      <w:bookmarkStart w:id="41" w:name="_Toc21217"/>
      <w:r>
        <w:rPr>
          <w:rFonts w:hint="eastAsia"/>
          <w:color w:val="auto"/>
          <w:highlight w:val="none"/>
        </w:rPr>
        <w:t>（一）区域范围</w:t>
      </w:r>
      <w:bookmarkEnd w:id="41"/>
    </w:p>
    <w:p>
      <w:pPr>
        <w:ind w:firstLine="640"/>
        <w:rPr>
          <w:color w:val="auto"/>
          <w:highlight w:val="none"/>
        </w:rPr>
      </w:pPr>
      <w:r>
        <w:rPr>
          <w:rFonts w:hint="eastAsia"/>
          <w:color w:val="auto"/>
          <w:highlight w:val="none"/>
        </w:rPr>
        <w:t>本区区域范围包括安基山林场、桃江乡、龙南镇、里仁镇、东江北部等，位于北纬24°47′~25°00′，东经114°33′~115°59′，修复区整体位于龙南市的北部区域，面积4.37万公顷，占市域面积比例26.53%。</w:t>
      </w:r>
    </w:p>
    <w:p>
      <w:pPr>
        <w:ind w:firstLine="640"/>
        <w:rPr>
          <w:color w:val="auto"/>
          <w:highlight w:val="none"/>
        </w:rPr>
      </w:pPr>
      <w:bookmarkStart w:id="42" w:name="_Toc12929"/>
      <w:r>
        <w:rPr>
          <w:rFonts w:hint="eastAsia"/>
          <w:color w:val="auto"/>
          <w:highlight w:val="none"/>
        </w:rPr>
        <w:t>（二）</w:t>
      </w:r>
      <w:bookmarkEnd w:id="42"/>
      <w:r>
        <w:rPr>
          <w:rFonts w:hint="eastAsia"/>
          <w:color w:val="auto"/>
          <w:highlight w:val="none"/>
        </w:rPr>
        <w:t>自然生态概况</w:t>
      </w:r>
    </w:p>
    <w:p>
      <w:pPr>
        <w:ind w:firstLine="640"/>
        <w:rPr>
          <w:color w:val="auto"/>
          <w:highlight w:val="none"/>
        </w:rPr>
      </w:pPr>
      <w:r>
        <w:rPr>
          <w:rFonts w:hint="eastAsia"/>
          <w:color w:val="auto"/>
          <w:highlight w:val="none"/>
        </w:rPr>
        <w:t>本区以低山丘陵地形为主，该片区内主要有桃江、渥江及濂江等，河流周边城镇密布、水系发达、水资源充沛、水质优良。全区生态环境良好，生物资源丰富，保存有完整的常绿阔叶林森林生态系统，但整个区域内分布不均衡。该区域也是龙南市中心城区所在地，城镇化率相比其他区域较高。其中安基山林场定位为龙南的“无烟工厂”和生态林城。区内现有4处个自然保护地。</w:t>
      </w:r>
    </w:p>
    <w:p>
      <w:pPr>
        <w:ind w:firstLine="640"/>
        <w:rPr>
          <w:color w:val="auto"/>
          <w:highlight w:val="none"/>
        </w:rPr>
      </w:pPr>
      <w:r>
        <w:rPr>
          <w:rFonts w:hint="eastAsia"/>
          <w:color w:val="auto"/>
          <w:highlight w:val="none"/>
        </w:rPr>
        <w:t>（三）主要生态问题</w:t>
      </w:r>
    </w:p>
    <w:p>
      <w:pPr>
        <w:ind w:firstLine="640"/>
        <w:rPr>
          <w:color w:val="auto"/>
          <w:highlight w:val="none"/>
        </w:rPr>
      </w:pPr>
      <w:r>
        <w:rPr>
          <w:rFonts w:hint="eastAsia"/>
          <w:color w:val="auto"/>
          <w:highlight w:val="none"/>
        </w:rPr>
        <w:t>该区域具有重要的生态地位，但是区域受沿河城乡发展、工业建设、农业开发和捕鱼捞沙等因素影响，存在有水土流失、低质低效林、湿地面积有所萎缩、生物多样性下降、水环境质量不高等生态问题，废弃矿山周边生态质量堪忧，森林覆盖率高，但是森林质量总体不高，生态较为敏感脆弱。城乡居民生活污染与工业园区污染排放等问题突出。城镇空间老旧城区蓝绿空间占比低，城市热岛效应范围和强度增加明显。</w:t>
      </w:r>
    </w:p>
    <w:p>
      <w:pPr>
        <w:ind w:firstLine="640"/>
        <w:rPr>
          <w:color w:val="auto"/>
          <w:highlight w:val="none"/>
        </w:rPr>
      </w:pPr>
      <w:bookmarkStart w:id="43" w:name="_Toc8889"/>
      <w:r>
        <w:rPr>
          <w:rFonts w:hint="eastAsia"/>
          <w:color w:val="auto"/>
          <w:highlight w:val="none"/>
        </w:rPr>
        <w:t>（四）主攻方向</w:t>
      </w:r>
      <w:bookmarkEnd w:id="43"/>
    </w:p>
    <w:p>
      <w:pPr>
        <w:ind w:firstLine="640"/>
        <w:rPr>
          <w:color w:val="auto"/>
          <w:highlight w:val="none"/>
        </w:rPr>
      </w:pPr>
      <w:r>
        <w:rPr>
          <w:rFonts w:hint="eastAsia"/>
          <w:color w:val="auto"/>
          <w:highlight w:val="none"/>
        </w:rPr>
        <w:t>以城市工矿生态修复治理和水土流失综合治理为主攻方向。根据矿山开采地理位置、景观特征以及人为开垦果园山地、乡村公路及工业园区建设等生产建设活动的实际，采用“宜耕则耕、宜林则林、宜水则水、宜工则工”形式，进行全方位的综合治理。同时控制现有经济林地的水土流失及山地林果开发过程中的水土流失。加强小流域水土流失治理，加大中下游地区在产、废弃矿山修复整治推进河网水系生态修复，加强城乡生活污染治理，提升土地节约集约利用。重点开展工业园区污染排放治理。</w:t>
      </w:r>
    </w:p>
    <w:p>
      <w:pPr>
        <w:ind w:firstLine="640"/>
        <w:rPr>
          <w:color w:val="auto"/>
          <w:highlight w:val="none"/>
        </w:rPr>
      </w:pPr>
      <w:r>
        <w:rPr>
          <w:rFonts w:hint="eastAsia"/>
          <w:color w:val="auto"/>
          <w:highlight w:val="none"/>
        </w:rPr>
        <w:t>提高森林水源涵养与水土保持能力，防止水土流失，统筹山水林田湖草一体化系统修复，推进自然保护地整合优化，完善自然保护地结构和空间布局。积极开展全域土地综合整治，加强城乡生态基础设施建设。加大城乡老旧城区低效无序空间整理，推进蓝绿空间扩围增效。</w:t>
      </w:r>
    </w:p>
    <w:p>
      <w:pPr>
        <w:pStyle w:val="6"/>
        <w:rPr>
          <w:color w:val="auto"/>
          <w:highlight w:val="none"/>
        </w:rPr>
      </w:pPr>
      <w:bookmarkStart w:id="44" w:name="_Toc2123"/>
      <w:r>
        <w:rPr>
          <w:rFonts w:hint="eastAsia"/>
          <w:color w:val="auto"/>
          <w:highlight w:val="none"/>
        </w:rPr>
        <w:t>二、</w:t>
      </w:r>
      <w:bookmarkEnd w:id="44"/>
      <w:r>
        <w:rPr>
          <w:rFonts w:hint="eastAsia"/>
          <w:color w:val="auto"/>
          <w:highlight w:val="none"/>
        </w:rPr>
        <w:t>中部桃江、渥江流域矿山与农田生态修复区</w:t>
      </w:r>
    </w:p>
    <w:p>
      <w:pPr>
        <w:ind w:firstLine="640"/>
        <w:rPr>
          <w:color w:val="auto"/>
          <w:highlight w:val="none"/>
        </w:rPr>
      </w:pPr>
      <w:bookmarkStart w:id="45" w:name="_Toc4893"/>
      <w:r>
        <w:rPr>
          <w:rFonts w:hint="eastAsia"/>
          <w:color w:val="auto"/>
          <w:highlight w:val="none"/>
        </w:rPr>
        <w:t>（一）区域范围</w:t>
      </w:r>
      <w:bookmarkEnd w:id="45"/>
    </w:p>
    <w:p>
      <w:pPr>
        <w:ind w:firstLine="640"/>
        <w:rPr>
          <w:color w:val="auto"/>
          <w:highlight w:val="none"/>
        </w:rPr>
      </w:pPr>
      <w:r>
        <w:rPr>
          <w:rFonts w:hint="eastAsia"/>
          <w:color w:val="auto"/>
          <w:highlight w:val="none"/>
        </w:rPr>
        <w:t>本区区域范围包括龙南市的程龙镇、渡江镇、临塘乡、东江乡南部、汶龙镇、关西镇，位于北纬24°39′~24°52′，东经114°33′~114°58′，修复区整体位于龙南市的中部区域，面积5.30万公顷，占市域面积比例32.15%。</w:t>
      </w:r>
    </w:p>
    <w:p>
      <w:pPr>
        <w:ind w:firstLine="640"/>
        <w:rPr>
          <w:color w:val="auto"/>
          <w:highlight w:val="none"/>
        </w:rPr>
      </w:pPr>
      <w:bookmarkStart w:id="46" w:name="_Toc31587"/>
      <w:r>
        <w:rPr>
          <w:rFonts w:hint="eastAsia"/>
          <w:color w:val="auto"/>
          <w:highlight w:val="none"/>
        </w:rPr>
        <w:t>（二）自然生态</w:t>
      </w:r>
      <w:bookmarkEnd w:id="46"/>
      <w:r>
        <w:rPr>
          <w:rFonts w:hint="eastAsia"/>
          <w:color w:val="auto"/>
          <w:highlight w:val="none"/>
        </w:rPr>
        <w:t>概况</w:t>
      </w:r>
    </w:p>
    <w:p>
      <w:pPr>
        <w:ind w:firstLine="640"/>
        <w:rPr>
          <w:color w:val="auto"/>
          <w:highlight w:val="none"/>
        </w:rPr>
      </w:pPr>
      <w:r>
        <w:rPr>
          <w:rFonts w:hint="eastAsia"/>
          <w:color w:val="auto"/>
          <w:highlight w:val="none"/>
        </w:rPr>
        <w:t>该区域是全市重要稀土、能源矿产区域，同时也是龙南市主要城镇分布地，区域内自然资源丰富、文化底蕴深厚，地形地貌主要以丘陵为主。区域内属亚热带季风湿润气候，雨量丰沛、日照充足，河流众多，水资源丰富，全市2条重要支流桃江和渥江流经区域，森林覆盖率高，区域内空气优良。</w:t>
      </w:r>
    </w:p>
    <w:p>
      <w:pPr>
        <w:ind w:firstLine="640"/>
        <w:rPr>
          <w:color w:val="auto"/>
          <w:highlight w:val="none"/>
        </w:rPr>
      </w:pPr>
      <w:r>
        <w:rPr>
          <w:rFonts w:hint="eastAsia"/>
          <w:color w:val="auto"/>
          <w:highlight w:val="none"/>
        </w:rPr>
        <w:t>（三）主要生态问题</w:t>
      </w:r>
    </w:p>
    <w:p>
      <w:pPr>
        <w:ind w:firstLine="640"/>
        <w:rPr>
          <w:color w:val="auto"/>
          <w:highlight w:val="none"/>
        </w:rPr>
      </w:pPr>
      <w:r>
        <w:rPr>
          <w:rFonts w:hint="eastAsia"/>
          <w:color w:val="auto"/>
          <w:highlight w:val="none"/>
        </w:rPr>
        <w:t>区域生态环境问题形势较严峻，主要包括农业面源污染、森林质量不高、基本农田质量不高、水土流失、矿山环境破坏等。</w:t>
      </w:r>
    </w:p>
    <w:p>
      <w:pPr>
        <w:ind w:firstLine="640"/>
        <w:rPr>
          <w:color w:val="auto"/>
          <w:highlight w:val="none"/>
        </w:rPr>
      </w:pPr>
      <w:r>
        <w:rPr>
          <w:rFonts w:hint="eastAsia"/>
          <w:color w:val="auto"/>
          <w:highlight w:val="none"/>
        </w:rPr>
        <w:t>区内部分生态空间与农业空间相接地区，矿山开采、果业开发等导致的生态问题仍较为严重。农业空间耕地破碎、无序，景观分离度高于其他区域。化肥农药施用较为粗放，农田生态系统退化。矿山开采破坏地形地貌，另外还导致了一定程度的水土污染、地下含水层破坏。尽管龙南市进行了全面的矿山地质环境恢复和土地复垦治理，但由于历史原因，废渣、废水仍将对矿山地质环境产生一定危害，露天开采的废弃矿山生态景观破坏严重，地质灾害隐患仍然存在。部分花岗岩全风化岩土体区域历史遗留问题突出，经过半个世纪的开采，稀土的高产出、高收益亦为龙南市带来了严重的生态破坏和环境污染问题，尤其是水环境污染防治形势依然十分严峻。此外，工业园区企业卫生防护距离不足、工业污水处理厂不能处理高盐废水、农村环保设施薄弱、采煤沉陷区等历史遗留问题。</w:t>
      </w:r>
    </w:p>
    <w:p>
      <w:pPr>
        <w:ind w:firstLine="640"/>
        <w:rPr>
          <w:color w:val="auto"/>
          <w:highlight w:val="none"/>
        </w:rPr>
      </w:pPr>
      <w:bookmarkStart w:id="47" w:name="_Toc27602"/>
      <w:r>
        <w:rPr>
          <w:rFonts w:hint="eastAsia"/>
          <w:color w:val="auto"/>
          <w:highlight w:val="none"/>
        </w:rPr>
        <w:t>（四）主攻方向</w:t>
      </w:r>
      <w:bookmarkEnd w:id="47"/>
    </w:p>
    <w:p>
      <w:pPr>
        <w:ind w:firstLine="640"/>
        <w:rPr>
          <w:bCs/>
          <w:color w:val="auto"/>
          <w:sz w:val="30"/>
          <w:szCs w:val="30"/>
          <w:highlight w:val="none"/>
        </w:rPr>
      </w:pPr>
      <w:r>
        <w:rPr>
          <w:rFonts w:hint="eastAsia"/>
          <w:color w:val="auto"/>
          <w:highlight w:val="none"/>
        </w:rPr>
        <w:t>提高森林质量，在全面保护常绿阔叶林等原生地带性植被的基础上，科学实施森林质量精准提升、以自然恢复为主修复林层结构，强化天然更新，提高中林和乔林占比；重点对区域水环境进行综合治理，提高水土保持能力；对重要河流实施水污染防治和水生态修复工程，提升污水收集、处理能力、持续加强水土保持工作；稳步推进农村生活垃圾分类处理，加强养殖污染整治，减少农业面源污染，保障区域河流稳定达到水质标准。以高标准基本农田建设、生态环境修复、矿山修复与环境治理、采煤塌陷区生态修复治理、城乡人居环境综合整治为主攻方向，结合水土流失治理、生物多样性保护、河流水质综合治理与提升，进行系统修复。坚持绿色发展，加大生态基础设施建设。</w:t>
      </w:r>
    </w:p>
    <w:p>
      <w:pPr>
        <w:pStyle w:val="6"/>
        <w:rPr>
          <w:color w:val="auto"/>
          <w:highlight w:val="none"/>
        </w:rPr>
      </w:pPr>
      <w:bookmarkStart w:id="48" w:name="_Toc5232"/>
      <w:r>
        <w:rPr>
          <w:rFonts w:hint="eastAsia"/>
          <w:color w:val="auto"/>
          <w:highlight w:val="none"/>
        </w:rPr>
        <w:t>三、</w:t>
      </w:r>
      <w:bookmarkEnd w:id="48"/>
      <w:r>
        <w:rPr>
          <w:rFonts w:hint="eastAsia"/>
          <w:color w:val="auto"/>
          <w:highlight w:val="none"/>
        </w:rPr>
        <w:t>南部山地丘陵水源涵养与生物多样性生态修复区</w:t>
      </w:r>
    </w:p>
    <w:p>
      <w:pPr>
        <w:ind w:firstLine="640"/>
        <w:rPr>
          <w:color w:val="auto"/>
          <w:highlight w:val="none"/>
        </w:rPr>
      </w:pPr>
      <w:bookmarkStart w:id="49" w:name="_Toc3014"/>
      <w:r>
        <w:rPr>
          <w:rFonts w:hint="eastAsia"/>
          <w:color w:val="auto"/>
          <w:highlight w:val="none"/>
        </w:rPr>
        <w:t>（一）区域范围</w:t>
      </w:r>
      <w:bookmarkEnd w:id="49"/>
    </w:p>
    <w:p>
      <w:pPr>
        <w:ind w:firstLine="640"/>
        <w:rPr>
          <w:color w:val="auto"/>
          <w:highlight w:val="none"/>
        </w:rPr>
      </w:pPr>
      <w:r>
        <w:rPr>
          <w:rFonts w:hint="eastAsia"/>
          <w:color w:val="auto"/>
          <w:highlight w:val="none"/>
        </w:rPr>
        <w:t>本区区域范围包括龙南市的九连山林场、杨村镇、夹湖乡、武当镇、南亨乡，位于北纬24°32′~24°42′，东经114°25′~114°36′，修复区整体位于龙南市的南部区域，面积6.81万公顷，占市域面积比例41.32%。</w:t>
      </w:r>
    </w:p>
    <w:p>
      <w:pPr>
        <w:ind w:firstLine="640"/>
        <w:rPr>
          <w:color w:val="auto"/>
          <w:highlight w:val="none"/>
        </w:rPr>
      </w:pPr>
      <w:bookmarkStart w:id="50" w:name="_Toc30054"/>
      <w:r>
        <w:rPr>
          <w:rFonts w:hint="eastAsia"/>
          <w:color w:val="auto"/>
          <w:highlight w:val="none"/>
        </w:rPr>
        <w:t>（二）自然</w:t>
      </w:r>
      <w:bookmarkEnd w:id="50"/>
      <w:r>
        <w:rPr>
          <w:rFonts w:hint="eastAsia"/>
          <w:color w:val="auto"/>
          <w:highlight w:val="none"/>
        </w:rPr>
        <w:t>生态概况</w:t>
      </w:r>
    </w:p>
    <w:p>
      <w:pPr>
        <w:ind w:firstLine="640"/>
        <w:rPr>
          <w:color w:val="auto"/>
          <w:highlight w:val="none"/>
        </w:rPr>
      </w:pPr>
      <w:r>
        <w:rPr>
          <w:rFonts w:hint="eastAsia"/>
          <w:color w:val="auto"/>
          <w:highlight w:val="none"/>
        </w:rPr>
        <w:t>本区以高山丘陵为主，位于南岭-九连山山脉，该片区内河流主要有桃江、渥江两大水系，水资源充沛。区内有3个自然保护地和1个风景名胜区，其中1个国家级森林公园；该区域森林植被茂密，山地丘陵生态系统多样，植物、动物区系复杂，区系成分繁多，生物资源丰富，是龙南市重要的野生动植物保护区。矿产资源丰富，生态状况总体良好。</w:t>
      </w:r>
    </w:p>
    <w:p>
      <w:pPr>
        <w:ind w:firstLine="640"/>
        <w:rPr>
          <w:color w:val="auto"/>
          <w:highlight w:val="none"/>
        </w:rPr>
      </w:pPr>
      <w:r>
        <w:rPr>
          <w:rFonts w:hint="eastAsia"/>
          <w:color w:val="auto"/>
          <w:highlight w:val="none"/>
        </w:rPr>
        <w:t>（三）主要生态问题</w:t>
      </w:r>
    </w:p>
    <w:p>
      <w:pPr>
        <w:ind w:firstLine="640"/>
        <w:rPr>
          <w:color w:val="auto"/>
          <w:highlight w:val="none"/>
        </w:rPr>
      </w:pPr>
      <w:r>
        <w:rPr>
          <w:rFonts w:hint="eastAsia"/>
          <w:color w:val="auto"/>
          <w:highlight w:val="none"/>
        </w:rPr>
        <w:t>区域生态环境质量不高，主要包括森林质量不高、生物多样性受损、矿山环境破坏等问题。</w:t>
      </w:r>
    </w:p>
    <w:p>
      <w:pPr>
        <w:ind w:firstLine="640"/>
        <w:rPr>
          <w:color w:val="auto"/>
          <w:highlight w:val="none"/>
        </w:rPr>
      </w:pPr>
      <w:r>
        <w:rPr>
          <w:rFonts w:hint="eastAsia"/>
          <w:color w:val="auto"/>
          <w:highlight w:val="none"/>
        </w:rPr>
        <w:t>（1）森林质量不高、水源涵养能力不足。区域内有1个国家级森林公园，林地面积较大，森林覆盖率较高，同时提供了巨大的水土保持服务。但由于林种不够丰富，种类趋于单一化，森林总体质量不高、水源涵养能力不足；森林周边村民森林保护意识不强，不合理的森林资源开发利用，导致植物资源逐渐减少，森林生态受到较大干扰，森林生态系统整体质量降低，生态服务功能不高，森林质量总体有待提高。</w:t>
      </w:r>
    </w:p>
    <w:p>
      <w:pPr>
        <w:ind w:firstLine="640"/>
        <w:rPr>
          <w:color w:val="auto"/>
          <w:highlight w:val="none"/>
        </w:rPr>
      </w:pPr>
      <w:r>
        <w:rPr>
          <w:rFonts w:hint="eastAsia"/>
          <w:color w:val="auto"/>
          <w:highlight w:val="none"/>
        </w:rPr>
        <w:t>（2）生境质量有待提高。区内有九连山国家级森林公园，自然保护地质量较高，但从整个区域来看，生态系统受到不同程度破坏，动物栖息地面积缩小，生境连通性较差，动物迁徙通道受阻，影响生物多样性。</w:t>
      </w:r>
    </w:p>
    <w:p>
      <w:pPr>
        <w:ind w:firstLine="640"/>
        <w:rPr>
          <w:color w:val="auto"/>
          <w:highlight w:val="none"/>
        </w:rPr>
      </w:pPr>
      <w:bookmarkStart w:id="51" w:name="_Toc8207"/>
      <w:r>
        <w:rPr>
          <w:rFonts w:hint="eastAsia"/>
          <w:color w:val="auto"/>
          <w:highlight w:val="none"/>
        </w:rPr>
        <w:t>（四）主攻方向</w:t>
      </w:r>
      <w:bookmarkEnd w:id="51"/>
    </w:p>
    <w:p>
      <w:pPr>
        <w:ind w:firstLine="640"/>
        <w:rPr>
          <w:color w:val="auto"/>
          <w:highlight w:val="none"/>
        </w:rPr>
      </w:pPr>
      <w:r>
        <w:rPr>
          <w:rFonts w:hint="eastAsia"/>
          <w:color w:val="auto"/>
          <w:highlight w:val="none"/>
        </w:rPr>
        <w:t>以水环境治理、森林质量提升、生物多样性保护为重点，对区域生态环境进行综合整治、修复与保护。进行森林抚育、植树造林，推进自然保护地整合优化，提高森林生态系统稳定性。</w:t>
      </w:r>
    </w:p>
    <w:p>
      <w:pPr>
        <w:ind w:firstLine="640"/>
        <w:rPr>
          <w:color w:val="auto"/>
          <w:highlight w:val="none"/>
        </w:rPr>
      </w:pPr>
      <w:r>
        <w:rPr>
          <w:rFonts w:hint="eastAsia"/>
          <w:color w:val="auto"/>
          <w:highlight w:val="none"/>
        </w:rPr>
        <w:t>强化生产建设活动水土保持监督管理，加强水源涵养、封育保护和自然修复，全面预防水土流失；加大九连山国家级自然保护区、武当山风景名胜区的保护力度，以九连山国家级自然保护区为建设中心，选择适宜的地区或者地段建设生态廊道和水质较好的备用水源，保护保育区域内的地带性生态系统，大力开展珍稀濒危野生动植物保护，加强监管，严禁开发，扩大野生动植物栖息地，保护生物多样性。以水土流失治理、河流水系综合整治、森林抚育与低效林改造、生态廊道建设为主攻方向，综合提升区域生态环境，连通彼此隔离的生境斑块，保护生物多样性。</w:t>
      </w:r>
    </w:p>
    <w:p>
      <w:pPr>
        <w:ind w:firstLine="720"/>
        <w:rPr>
          <w:rFonts w:eastAsia="黑体" w:cs="黑体"/>
          <w:color w:val="auto"/>
          <w:sz w:val="36"/>
          <w:szCs w:val="36"/>
          <w:highlight w:val="none"/>
        </w:rPr>
      </w:pPr>
      <w:r>
        <w:rPr>
          <w:rFonts w:eastAsia="黑体" w:cs="黑体"/>
          <w:color w:val="auto"/>
          <w:sz w:val="36"/>
          <w:szCs w:val="36"/>
          <w:highlight w:val="none"/>
        </w:rPr>
        <w:br w:type="page"/>
      </w:r>
    </w:p>
    <w:p>
      <w:pPr>
        <w:pStyle w:val="4"/>
        <w:jc w:val="center"/>
        <w:rPr>
          <w:color w:val="auto"/>
          <w:highlight w:val="none"/>
        </w:rPr>
      </w:pPr>
      <w:bookmarkStart w:id="52" w:name="_Toc3033"/>
      <w:bookmarkStart w:id="53" w:name="_Toc20672"/>
      <w:r>
        <w:rPr>
          <w:rFonts w:hint="eastAsia"/>
          <w:color w:val="auto"/>
          <w:highlight w:val="none"/>
        </w:rPr>
        <w:t>第五章 国土空间生态修复重点任务</w:t>
      </w:r>
      <w:bookmarkEnd w:id="52"/>
      <w:bookmarkEnd w:id="53"/>
    </w:p>
    <w:p>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color w:val="auto"/>
          <w:highlight w:val="none"/>
        </w:rPr>
      </w:pPr>
    </w:p>
    <w:p>
      <w:pPr>
        <w:ind w:firstLine="640"/>
        <w:rPr>
          <w:color w:val="auto"/>
          <w:highlight w:val="none"/>
        </w:rPr>
      </w:pPr>
      <w:r>
        <w:rPr>
          <w:rFonts w:hint="eastAsia"/>
          <w:color w:val="auto"/>
          <w:highlight w:val="none"/>
        </w:rPr>
        <w:t>根据龙南市自然环境现状、识别出的生态环境问题、以及建立的生态保护修复目标及指标体系，以“一屏三网三区”的国土空间生态修复总体布局为指引，结合北部濂江流域水土保持与城市工矿生态修复区、中部桃江、渥江流域矿山与农田生态修复区、南部山地丘陵水源涵养与生物多样性生态修复区3大分区存在的主要问题，按照各片区优先设置的任务，因地制宜地</w:t>
      </w:r>
      <w:bookmarkStart w:id="54" w:name="_Toc47965103"/>
      <w:bookmarkStart w:id="55" w:name="_Hlk45957361"/>
      <w:r>
        <w:rPr>
          <w:rFonts w:hint="eastAsia"/>
          <w:color w:val="auto"/>
          <w:highlight w:val="none"/>
        </w:rPr>
        <w:t>部署规划期生态修复重点任务。</w:t>
      </w:r>
    </w:p>
    <w:bookmarkEnd w:id="54"/>
    <w:bookmarkEnd w:id="55"/>
    <w:p>
      <w:pPr>
        <w:pStyle w:val="6"/>
        <w:rPr>
          <w:color w:val="auto"/>
          <w:highlight w:val="none"/>
        </w:rPr>
      </w:pPr>
      <w:r>
        <w:rPr>
          <w:rFonts w:hint="eastAsia"/>
          <w:color w:val="auto"/>
          <w:highlight w:val="none"/>
        </w:rPr>
        <w:t>一、实施森林改造与质量提升，全面提升森林生态质量</w:t>
      </w:r>
    </w:p>
    <w:p>
      <w:pPr>
        <w:ind w:firstLine="640"/>
        <w:rPr>
          <w:color w:val="auto"/>
          <w:highlight w:val="none"/>
        </w:rPr>
      </w:pPr>
      <w:r>
        <w:rPr>
          <w:rFonts w:hint="eastAsia"/>
          <w:color w:val="auto"/>
          <w:highlight w:val="none"/>
        </w:rPr>
        <w:t>以培育材质优良、景观优美、效益显著、前景广阔的珍贵、彩叶用材树种资源为抓手，致力促进林业高质量发展，推动建设高等级、高品质森林，深入开展重点区域森林“四化”建设，精准提升森林质量。大力开展森林造林、低效林改造项目，结合立地条件，科学采取更替、补植、抚育、封育等四种改造方式，促进森林生态系统正向演替。采取砍杂、割灌林地清理，更替改造优先选择在火烧迹地、疏林地、遭受森林火灾、严重病虫害的林地，砍除火烧枯木，补种树种并施肥，以提高森林质量。在人工造林过程中，加强科学指导。提高林地生产力及公益林补偿标准。提升森林生态系统整体功能，充分发挥生态功能。</w:t>
      </w:r>
    </w:p>
    <w:p>
      <w:pPr>
        <w:pStyle w:val="6"/>
        <w:keepNext w:val="0"/>
        <w:keepLines w:val="0"/>
        <w:pageBreakBefore w:val="0"/>
        <w:widowControl w:val="0"/>
        <w:kinsoku/>
        <w:wordWrap/>
        <w:overflowPunct w:val="0"/>
        <w:topLinePunct w:val="0"/>
        <w:autoSpaceDE/>
        <w:autoSpaceDN/>
        <w:bidi w:val="0"/>
        <w:adjustRightInd/>
        <w:snapToGrid/>
        <w:textAlignment w:val="auto"/>
        <w:rPr>
          <w:color w:val="auto"/>
          <w:highlight w:val="none"/>
        </w:rPr>
      </w:pPr>
      <w:r>
        <w:rPr>
          <w:rFonts w:hint="eastAsia"/>
          <w:color w:val="auto"/>
          <w:highlight w:val="none"/>
        </w:rPr>
        <w:t>二、推进重要生态廊道和网络构建，提高生物多样性</w:t>
      </w:r>
    </w:p>
    <w:p>
      <w:pPr>
        <w:ind w:firstLine="640"/>
        <w:rPr>
          <w:color w:val="auto"/>
          <w:highlight w:val="none"/>
        </w:rPr>
      </w:pPr>
      <w:r>
        <w:rPr>
          <w:rFonts w:hint="eastAsia"/>
          <w:color w:val="auto"/>
          <w:highlight w:val="none"/>
        </w:rPr>
        <w:t>着力提升重要生态功能区自然保护地连通性，提高生物多样性。重点推进江西九连山国家级自然保护区、森林公园、湿地公园之间生物连通廊道构建以及重要野生动植物能量通道建设，积极推进廊道内重要保护区、森林公园、湿地公园重要生态系统保育保护，大力开展廊道内低质低效林森林质量提升工程、退耕还林工程、小流域水土流失综合治理工程、废弃矿山生态修复治理工程和农田生态治理工程。加强廊道内外来物种管控，增强本土物种培育栽植，提升外来有害物种入侵抵御能力。对于公路经过的地区，可通过建设人工廊桥、隧道、涵洞等设施，方便野生动物安全通过；对于农林种植地带，可通过退耕还林、人工建设绿化带等方式，为野生动物提供安全隐蔽的通道。加大生物多样性保护资金的投入。</w:t>
      </w:r>
    </w:p>
    <w:p>
      <w:pPr>
        <w:pStyle w:val="6"/>
        <w:rPr>
          <w:color w:val="auto"/>
          <w:highlight w:val="none"/>
        </w:rPr>
      </w:pPr>
      <w:r>
        <w:rPr>
          <w:rFonts w:hint="eastAsia"/>
          <w:color w:val="auto"/>
          <w:highlight w:val="none"/>
        </w:rPr>
        <w:t>三、加强矿山综合治理，恢复区域生态环境</w:t>
      </w:r>
    </w:p>
    <w:p>
      <w:pPr>
        <w:ind w:firstLine="640"/>
        <w:rPr>
          <w:color w:val="auto"/>
          <w:highlight w:val="none"/>
        </w:rPr>
      </w:pPr>
      <w:r>
        <w:rPr>
          <w:rFonts w:hint="eastAsia"/>
          <w:color w:val="auto"/>
          <w:highlight w:val="none"/>
        </w:rPr>
        <w:t>根据《赣州市矿山生态修复三年行动方案》，大力推进全市矿山复绿复垦、生态重塑，利用三年时间全面完成矿山大排查大整治专项行动排查出尚未完成生态修复义务的持证矿山生态修复任务，</w:t>
      </w:r>
      <w:r>
        <w:rPr>
          <w:color w:val="auto"/>
          <w:highlight w:val="none"/>
        </w:rPr>
        <w:t>消除矿山边坡存在的地质灾害隐患、减少水土流失、降低矿山环境破坏对周边区域性生态安全影响，努力实现重点区域生态环境明显改善和区域生态环境的全面恢复，生态系统循环能力、生态产品生产能力和生态系统服务供给能力显著增强，构建起比较完善的生态系统保护、修复和管理的体制机制，形成一套可复制、可推广的生态保护修复技术模式，筑牢南方丘陵山地生态安全屏障。加强矿山开采监管，采取警示教育、政策扶持、科技示范、多元开发、多渠融资等措施组织开展</w:t>
      </w:r>
      <w:r>
        <w:rPr>
          <w:rFonts w:hint="eastAsia"/>
          <w:color w:val="auto"/>
          <w:highlight w:val="none"/>
        </w:rPr>
        <w:t>矿山综合</w:t>
      </w:r>
      <w:r>
        <w:rPr>
          <w:color w:val="auto"/>
          <w:highlight w:val="none"/>
        </w:rPr>
        <w:t>治理。</w:t>
      </w:r>
      <w:r>
        <w:rPr>
          <w:rFonts w:hint="eastAsia"/>
          <w:color w:val="auto"/>
          <w:highlight w:val="none"/>
        </w:rPr>
        <w:t>重点恢复矿山地质环境，促进土地质量改善提升，全面遏制矿山水土流失给群众带来的严重生活影响，提升区域生态环境质量。到2025年，完成</w:t>
      </w:r>
      <w:r>
        <w:rPr>
          <w:color w:val="auto"/>
          <w:highlight w:val="none"/>
        </w:rPr>
        <w:t>24</w:t>
      </w:r>
      <w:r>
        <w:rPr>
          <w:rFonts w:hint="eastAsia"/>
          <w:color w:val="auto"/>
          <w:highlight w:val="none"/>
          <w:lang w:val="en-US" w:eastAsia="zh-CN"/>
        </w:rPr>
        <w:t>个图斑</w:t>
      </w:r>
      <w:r>
        <w:rPr>
          <w:rFonts w:hint="eastAsia"/>
          <w:color w:val="auto"/>
          <w:highlight w:val="none"/>
        </w:rPr>
        <w:t>、面积</w:t>
      </w:r>
      <w:r>
        <w:rPr>
          <w:rFonts w:hint="eastAsia"/>
          <w:color w:val="auto"/>
          <w:highlight w:val="none"/>
          <w:lang w:val="en-US" w:eastAsia="zh-CN"/>
        </w:rPr>
        <w:t>66.44</w:t>
      </w:r>
      <w:r>
        <w:rPr>
          <w:rFonts w:hint="eastAsia"/>
          <w:color w:val="auto"/>
          <w:highlight w:val="none"/>
        </w:rPr>
        <w:t>公顷的</w:t>
      </w:r>
      <w:r>
        <w:rPr>
          <w:rFonts w:hint="eastAsia"/>
          <w:color w:val="auto"/>
          <w:highlight w:val="none"/>
          <w:lang w:val="en-US" w:eastAsia="zh-CN"/>
        </w:rPr>
        <w:t>历史遗留矿山</w:t>
      </w:r>
      <w:r>
        <w:rPr>
          <w:rFonts w:hint="eastAsia"/>
          <w:color w:val="auto"/>
          <w:highlight w:val="none"/>
        </w:rPr>
        <w:t>治理任务；加大矿山</w:t>
      </w:r>
      <w:r>
        <w:rPr>
          <w:rFonts w:hint="eastAsia"/>
          <w:color w:val="auto"/>
          <w:highlight w:val="none"/>
          <w:lang w:val="en-US" w:eastAsia="zh-CN"/>
        </w:rPr>
        <w:t>生态修复力度</w:t>
      </w:r>
      <w:r>
        <w:rPr>
          <w:rFonts w:hint="eastAsia"/>
          <w:color w:val="auto"/>
          <w:highlight w:val="none"/>
        </w:rPr>
        <w:t>，</w:t>
      </w:r>
      <w:r>
        <w:rPr>
          <w:rFonts w:hint="eastAsia"/>
          <w:color w:val="auto"/>
          <w:highlight w:val="none"/>
          <w:lang w:val="en-US" w:eastAsia="zh-CN"/>
        </w:rPr>
        <w:t>着实推进</w:t>
      </w:r>
      <w:r>
        <w:rPr>
          <w:rFonts w:hint="eastAsia"/>
          <w:color w:val="auto"/>
          <w:highlight w:val="none"/>
        </w:rPr>
        <w:t>在产矿山边开发边修复，实现矿山</w:t>
      </w:r>
      <w:r>
        <w:rPr>
          <w:rFonts w:hint="eastAsia"/>
          <w:color w:val="auto"/>
          <w:highlight w:val="none"/>
          <w:lang w:val="en-US" w:eastAsia="zh-CN"/>
        </w:rPr>
        <w:t>生态质量</w:t>
      </w:r>
      <w:r>
        <w:rPr>
          <w:rFonts w:hint="eastAsia"/>
          <w:color w:val="auto"/>
          <w:highlight w:val="none"/>
        </w:rPr>
        <w:t>稳步</w:t>
      </w:r>
      <w:r>
        <w:rPr>
          <w:rFonts w:hint="eastAsia"/>
          <w:color w:val="auto"/>
          <w:highlight w:val="none"/>
          <w:lang w:val="en-US" w:eastAsia="zh-CN"/>
        </w:rPr>
        <w:t>提升</w:t>
      </w:r>
      <w:r>
        <w:rPr>
          <w:rFonts w:hint="eastAsia"/>
          <w:color w:val="auto"/>
          <w:highlight w:val="none"/>
        </w:rPr>
        <w:t>。</w:t>
      </w:r>
    </w:p>
    <w:p>
      <w:pPr>
        <w:pStyle w:val="6"/>
        <w:rPr>
          <w:color w:val="auto"/>
          <w:sz w:val="28"/>
          <w:highlight w:val="none"/>
        </w:rPr>
      </w:pPr>
      <w:r>
        <w:rPr>
          <w:rFonts w:hint="eastAsia"/>
          <w:color w:val="auto"/>
          <w:highlight w:val="none"/>
        </w:rPr>
        <w:t>四、开展水系生态环境保护与修复，提升水生态系统质量</w:t>
      </w:r>
    </w:p>
    <w:p>
      <w:pPr>
        <w:ind w:firstLine="640"/>
        <w:rPr>
          <w:color w:val="auto"/>
          <w:highlight w:val="none"/>
        </w:rPr>
      </w:pPr>
      <w:r>
        <w:rPr>
          <w:rFonts w:hint="eastAsia"/>
          <w:color w:val="auto"/>
          <w:highlight w:val="none"/>
          <w:lang w:val="en-US" w:eastAsia="zh-CN"/>
        </w:rPr>
        <w:t>加强排污管控</w:t>
      </w:r>
      <w:r>
        <w:rPr>
          <w:rFonts w:hint="eastAsia"/>
          <w:color w:val="auto"/>
          <w:highlight w:val="none"/>
          <w:lang w:eastAsia="zh-CN"/>
        </w:rPr>
        <w:t>，</w:t>
      </w:r>
      <w:r>
        <w:rPr>
          <w:rFonts w:hint="eastAsia"/>
          <w:color w:val="auto"/>
          <w:highlight w:val="none"/>
          <w:lang w:val="en-US" w:eastAsia="zh-CN"/>
        </w:rPr>
        <w:t>综合</w:t>
      </w:r>
      <w:r>
        <w:rPr>
          <w:rFonts w:hint="eastAsia"/>
          <w:color w:val="auto"/>
          <w:highlight w:val="none"/>
        </w:rPr>
        <w:t>整治桃江、濂江、渥江、洒江及其支流水系，大力开展河道疏浚，清理河道及河岸垃圾，建设污水处理设施；新建河流两岸沿河道路，</w:t>
      </w:r>
      <w:r>
        <w:rPr>
          <w:rFonts w:hint="eastAsia"/>
          <w:color w:val="auto"/>
          <w:highlight w:val="none"/>
          <w:lang w:val="en-US" w:eastAsia="zh-CN"/>
        </w:rPr>
        <w:t>铺设</w:t>
      </w:r>
      <w:r>
        <w:rPr>
          <w:rFonts w:hint="eastAsia"/>
          <w:color w:val="auto"/>
          <w:highlight w:val="none"/>
        </w:rPr>
        <w:t>污水管网并进行植被恢复，实现</w:t>
      </w:r>
      <w:r>
        <w:rPr>
          <w:rFonts w:hint="eastAsia"/>
          <w:color w:val="auto"/>
          <w:highlight w:val="none"/>
          <w:lang w:val="en-US" w:eastAsia="zh-CN"/>
        </w:rPr>
        <w:t>河流</w:t>
      </w:r>
      <w:r>
        <w:rPr>
          <w:rFonts w:hint="eastAsia"/>
          <w:color w:val="auto"/>
          <w:highlight w:val="none"/>
        </w:rPr>
        <w:t>两岸生态防护。</w:t>
      </w:r>
      <w:r>
        <w:rPr>
          <w:color w:val="auto"/>
          <w:highlight w:val="none"/>
        </w:rPr>
        <w:t>针对</w:t>
      </w:r>
      <w:r>
        <w:rPr>
          <w:rFonts w:hint="eastAsia"/>
          <w:color w:val="auto"/>
          <w:highlight w:val="none"/>
        </w:rPr>
        <w:t>流域</w:t>
      </w:r>
      <w:r>
        <w:rPr>
          <w:color w:val="auto"/>
          <w:highlight w:val="none"/>
        </w:rPr>
        <w:t>河道淤塞，沿河两岸河堤崩塌以及河岸裸露地表进行治理</w:t>
      </w:r>
      <w:r>
        <w:rPr>
          <w:rFonts w:hint="eastAsia"/>
          <w:color w:val="auto"/>
          <w:highlight w:val="none"/>
        </w:rPr>
        <w:t>，</w:t>
      </w:r>
      <w:r>
        <w:rPr>
          <w:color w:val="auto"/>
          <w:highlight w:val="none"/>
        </w:rPr>
        <w:t>将裸露地表进行复绿</w:t>
      </w:r>
      <w:r>
        <w:rPr>
          <w:rFonts w:hint="eastAsia"/>
          <w:color w:val="auto"/>
          <w:highlight w:val="none"/>
        </w:rPr>
        <w:t>，改善水生态环境</w:t>
      </w:r>
      <w:r>
        <w:rPr>
          <w:color w:val="auto"/>
          <w:highlight w:val="none"/>
        </w:rPr>
        <w:t>。</w:t>
      </w:r>
      <w:r>
        <w:rPr>
          <w:rFonts w:hint="eastAsia"/>
          <w:color w:val="auto"/>
          <w:highlight w:val="none"/>
        </w:rPr>
        <w:t>推进排水渠</w:t>
      </w:r>
      <w:r>
        <w:rPr>
          <w:color w:val="auto"/>
          <w:highlight w:val="none"/>
        </w:rPr>
        <w:t>清淤整治，对局部渠段进行</w:t>
      </w:r>
      <w:r>
        <w:rPr>
          <w:rFonts w:hint="eastAsia"/>
          <w:color w:val="auto"/>
          <w:highlight w:val="none"/>
          <w:lang w:val="en-US" w:eastAsia="zh-CN"/>
        </w:rPr>
        <w:t>生态</w:t>
      </w:r>
      <w:r>
        <w:rPr>
          <w:color w:val="auto"/>
          <w:highlight w:val="none"/>
        </w:rPr>
        <w:t>护坡整治，对沿线进行绿化改造，提升区域协调性。</w:t>
      </w:r>
    </w:p>
    <w:p>
      <w:pPr>
        <w:pStyle w:val="6"/>
        <w:rPr>
          <w:color w:val="auto"/>
          <w:highlight w:val="none"/>
        </w:rPr>
      </w:pPr>
      <w:r>
        <w:rPr>
          <w:rFonts w:hint="eastAsia"/>
          <w:color w:val="auto"/>
          <w:highlight w:val="none"/>
        </w:rPr>
        <w:t>五、推进农业空间生态建设，改善农业生态功能</w:t>
      </w:r>
    </w:p>
    <w:p>
      <w:pPr>
        <w:ind w:firstLine="640"/>
        <w:rPr>
          <w:color w:val="auto"/>
          <w:highlight w:val="none"/>
        </w:rPr>
      </w:pPr>
      <w:r>
        <w:rPr>
          <w:rFonts w:hint="eastAsia"/>
          <w:color w:val="auto"/>
          <w:highlight w:val="none"/>
        </w:rPr>
        <w:t>大力推进农用地、农村建设用地、乡村生态保护修复综合整治。针对河流流域周边村庄基础设施、环境保护设施条件差和土地资源使用率低下等问题，进行村庄</w:t>
      </w:r>
      <w:r>
        <w:rPr>
          <w:rFonts w:hint="eastAsia"/>
          <w:color w:val="auto"/>
          <w:highlight w:val="none"/>
          <w:lang w:val="en-US" w:eastAsia="zh-CN"/>
        </w:rPr>
        <w:t>人居环境</w:t>
      </w:r>
      <w:r>
        <w:rPr>
          <w:rFonts w:hint="eastAsia"/>
          <w:color w:val="auto"/>
          <w:highlight w:val="none"/>
        </w:rPr>
        <w:t>综合整治，实现雨污分流</w:t>
      </w:r>
      <w:r>
        <w:rPr>
          <w:rFonts w:hint="eastAsia"/>
          <w:color w:val="auto"/>
          <w:highlight w:val="none"/>
          <w:lang w:eastAsia="zh-CN"/>
        </w:rPr>
        <w:t>，</w:t>
      </w:r>
      <w:r>
        <w:rPr>
          <w:rFonts w:hint="eastAsia"/>
          <w:color w:val="auto"/>
          <w:highlight w:val="none"/>
        </w:rPr>
        <w:t>提升农村居住环境。对生产力低下的农田进行土地整治，完善农田灌排和交通设施，合理规整零碎田块，修建拦水坝等水利设施，疏通流域内主要灌渠以保证农田灌溉水源</w:t>
      </w:r>
      <w:r>
        <w:rPr>
          <w:rFonts w:hint="eastAsia"/>
          <w:color w:val="auto"/>
          <w:highlight w:val="none"/>
          <w:lang w:eastAsia="zh-CN"/>
        </w:rPr>
        <w:t>，</w:t>
      </w:r>
      <w:r>
        <w:rPr>
          <w:rFonts w:hint="eastAsia"/>
          <w:color w:val="auto"/>
          <w:highlight w:val="none"/>
        </w:rPr>
        <w:t>改善农业空间生态环境，实现现代化农业。加强农田精准施肥、合理用药宣传引导，推动农药化肥减量增效。力争到2025年，农药、化肥利用率高于45.1%、42.1%，恢复田间生物群落和生态链，提高农田生态系统生物多样性。</w:t>
      </w:r>
    </w:p>
    <w:p>
      <w:pPr>
        <w:pStyle w:val="6"/>
        <w:rPr>
          <w:color w:val="auto"/>
          <w:highlight w:val="none"/>
        </w:rPr>
      </w:pPr>
      <w:r>
        <w:rPr>
          <w:rFonts w:hint="eastAsia"/>
          <w:color w:val="auto"/>
          <w:highlight w:val="none"/>
        </w:rPr>
        <w:t>六、推进城市生态修复治理，改善城市生态环境</w:t>
      </w:r>
    </w:p>
    <w:p>
      <w:pPr>
        <w:ind w:firstLine="640"/>
        <w:rPr>
          <w:color w:val="auto"/>
          <w:highlight w:val="none"/>
        </w:rPr>
      </w:pPr>
      <w:r>
        <w:rPr>
          <w:rFonts w:hint="eastAsia"/>
          <w:color w:val="auto"/>
          <w:highlight w:val="none"/>
        </w:rPr>
        <w:t>以问题为导向，结合人居环境整治和城市发展方向，系统治理、综合整治。结合城市建设和发展方向，采取“宜农则农、宜水则水、宜游则游、宜生态则生态”的策略，因地制宜，重点加强龙南市全域采煤塌陷区生态修复治理，适时开展采煤塌陷地复垦、基本农田整理、生态环境修复、城乡人居环境综合整治，坚持绿色发展，加大生态基础设施建设。</w:t>
      </w:r>
    </w:p>
    <w:p>
      <w:pPr>
        <w:pStyle w:val="6"/>
        <w:rPr>
          <w:color w:val="auto"/>
          <w:highlight w:val="none"/>
        </w:rPr>
      </w:pPr>
      <w:r>
        <w:rPr>
          <w:rFonts w:hint="eastAsia"/>
          <w:color w:val="auto"/>
          <w:highlight w:val="none"/>
        </w:rPr>
        <w:t>七、开展三类空间相邻或冲突区域生态修复</w:t>
      </w:r>
    </w:p>
    <w:p>
      <w:pPr>
        <w:ind w:firstLine="640"/>
        <w:rPr>
          <w:color w:val="auto"/>
          <w:highlight w:val="none"/>
        </w:rPr>
        <w:sectPr>
          <w:pgSz w:w="11906" w:h="16838"/>
          <w:pgMar w:top="1100" w:right="1800" w:bottom="1440" w:left="1800" w:header="851" w:footer="992" w:gutter="0"/>
          <w:cols w:space="425" w:num="1"/>
          <w:docGrid w:type="lines" w:linePitch="312" w:charSpace="0"/>
        </w:sectPr>
      </w:pPr>
      <w:r>
        <w:rPr>
          <w:rFonts w:hint="eastAsia"/>
          <w:color w:val="auto"/>
          <w:highlight w:val="none"/>
        </w:rPr>
        <w:t>在全市城镇、农业与生态空间相邻或冲突区域，对“三调”发现的耕地、园地、林地、草地、湿地等用地中不符合自然地理格局和水资源受限的利用方式，按照“宜耕则耕、宜林则林、宜草则草、宜湿则湿”的原则逐步进行调整和修复，并因地制宜建设三类空间衔接地带生态缓冲带。重点在国家和省级以上自然保护区、龙南市城区城乡结合带等三类空间相邻区域，开展缓冲带建设，加大缓冲区域内生态修复治理，加强区域内生态系统功能恢复，减少对城镇空间和农业空间对生态空间的胁迫。</w:t>
      </w:r>
    </w:p>
    <w:p>
      <w:pPr>
        <w:pStyle w:val="4"/>
        <w:rPr>
          <w:color w:val="auto"/>
          <w:highlight w:val="none"/>
        </w:rPr>
      </w:pPr>
      <w:bookmarkStart w:id="56" w:name="_Toc3314"/>
      <w:bookmarkStart w:id="57" w:name="_Toc24958"/>
      <w:r>
        <w:rPr>
          <w:rFonts w:hint="eastAsia"/>
          <w:color w:val="auto"/>
          <w:highlight w:val="none"/>
        </w:rPr>
        <w:t>第</w:t>
      </w:r>
      <w:r>
        <w:rPr>
          <w:rFonts w:hint="eastAsia"/>
          <w:color w:val="auto"/>
          <w:highlight w:val="none"/>
          <w:lang w:val="en-US" w:eastAsia="zh-CN"/>
        </w:rPr>
        <w:t>六</w:t>
      </w:r>
      <w:r>
        <w:rPr>
          <w:rFonts w:hint="eastAsia"/>
          <w:color w:val="auto"/>
          <w:highlight w:val="none"/>
        </w:rPr>
        <w:t>章 国土空间生态修复重大工程</w:t>
      </w:r>
      <w:bookmarkEnd w:id="56"/>
      <w:bookmarkEnd w:id="57"/>
    </w:p>
    <w:p>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rFonts w:hint="eastAsia"/>
          <w:color w:val="auto"/>
          <w:highlight w:val="none"/>
        </w:rPr>
      </w:pPr>
    </w:p>
    <w:p>
      <w:pPr>
        <w:ind w:firstLine="640"/>
        <w:rPr>
          <w:color w:val="auto"/>
          <w:highlight w:val="none"/>
        </w:rPr>
      </w:pPr>
      <w:r>
        <w:rPr>
          <w:rFonts w:hint="eastAsia"/>
          <w:color w:val="auto"/>
          <w:highlight w:val="none"/>
        </w:rPr>
        <w:t>根据全市“一屏、三网、三区”的生态修复布局，针对龙南市生态重要性与生态问题空间特征，结合流域生态地理单元的完整性与系统性。根据北部濂江流域水土保持与城市工矿生态修复区、中部桃江、渥江流域矿山与农田生态修复区、南部山地丘陵水源涵养与生物多样性生态修复区3大生态修复分区，规划期内整个工程在三大片区共部署了</w:t>
      </w:r>
      <w:r>
        <w:rPr>
          <w:rFonts w:hint="eastAsia"/>
          <w:b/>
          <w:bCs/>
          <w:color w:val="auto"/>
          <w:highlight w:val="none"/>
        </w:rPr>
        <w:t>矿山生态环境综合治理与农田生态提质工程、水土保持综合治理工程、亚热带森林质量提升及生物多样性保护生态廊道建设工程</w:t>
      </w:r>
      <w:r>
        <w:rPr>
          <w:rFonts w:hint="eastAsia"/>
          <w:color w:val="auto"/>
          <w:highlight w:val="none"/>
        </w:rPr>
        <w:t>等3项重大工程，</w:t>
      </w:r>
      <w:r>
        <w:rPr>
          <w:rFonts w:hint="eastAsia"/>
          <w:color w:val="auto"/>
          <w:highlight w:val="none"/>
          <w:lang w:val="en-US" w:eastAsia="zh-CN"/>
        </w:rPr>
        <w:t>6个项目</w:t>
      </w:r>
      <w:r>
        <w:rPr>
          <w:rFonts w:hint="eastAsia"/>
          <w:color w:val="auto"/>
          <w:highlight w:val="none"/>
        </w:rPr>
        <w:t>。</w:t>
      </w:r>
    </w:p>
    <w:p>
      <w:pPr>
        <w:ind w:left="0" w:leftChars="0" w:firstLine="0" w:firstLineChars="0"/>
        <w:jc w:val="center"/>
        <w:rPr>
          <w:rFonts w:eastAsia="楷体" w:cs="Times New Roman"/>
          <w:color w:val="auto"/>
          <w:sz w:val="28"/>
          <w:szCs w:val="28"/>
          <w:highlight w:val="none"/>
        </w:rPr>
      </w:pPr>
      <w:r>
        <w:rPr>
          <w:rFonts w:hint="eastAsia" w:eastAsia="楷体" w:cs="Times New Roman"/>
          <w:color w:val="auto"/>
          <w:sz w:val="28"/>
          <w:szCs w:val="28"/>
          <w:highlight w:val="none"/>
        </w:rPr>
        <w:t>专栏5-1</w:t>
      </w:r>
      <w:r>
        <w:rPr>
          <w:rFonts w:hint="eastAsia" w:eastAsia="楷体" w:cs="Times New Roman"/>
          <w:color w:val="auto"/>
          <w:sz w:val="28"/>
          <w:szCs w:val="28"/>
          <w:highlight w:val="none"/>
          <w:lang w:val="en-US" w:eastAsia="zh-CN"/>
        </w:rPr>
        <w:t xml:space="preserve">  </w:t>
      </w:r>
      <w:r>
        <w:rPr>
          <w:rFonts w:hint="eastAsia" w:eastAsia="楷体" w:cs="Times New Roman"/>
          <w:color w:val="auto"/>
          <w:sz w:val="28"/>
          <w:szCs w:val="28"/>
          <w:highlight w:val="none"/>
        </w:rPr>
        <w:t>龙南市国土空间生态保护修复重大工程</w:t>
      </w:r>
    </w:p>
    <w:tbl>
      <w:tblPr>
        <w:tblStyle w:val="22"/>
        <w:tblW w:w="8519" w:type="dxa"/>
        <w:jc w:val="center"/>
        <w:tblLayout w:type="fixed"/>
        <w:tblCellMar>
          <w:top w:w="0" w:type="dxa"/>
          <w:left w:w="108" w:type="dxa"/>
          <w:bottom w:w="0" w:type="dxa"/>
          <w:right w:w="108" w:type="dxa"/>
        </w:tblCellMar>
      </w:tblPr>
      <w:tblGrid>
        <w:gridCol w:w="1125"/>
        <w:gridCol w:w="7394"/>
      </w:tblGrid>
      <w:tr>
        <w:tblPrEx>
          <w:tblCellMar>
            <w:top w:w="0" w:type="dxa"/>
            <w:left w:w="108" w:type="dxa"/>
            <w:bottom w:w="0" w:type="dxa"/>
            <w:right w:w="108" w:type="dxa"/>
          </w:tblCellMar>
        </w:tblPrEx>
        <w:trPr>
          <w:tblHeader/>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420"/>
              <w:jc w:val="center"/>
              <w:textAlignment w:val="center"/>
              <w:rPr>
                <w:rFonts w:ascii="宋体" w:hAnsi="宋体" w:eastAsia="黑体" w:cs="Times New Roman"/>
                <w:bCs/>
                <w:color w:val="auto"/>
                <w:szCs w:val="21"/>
                <w:highlight w:val="none"/>
              </w:rPr>
            </w:pPr>
            <w:r>
              <w:rPr>
                <w:rFonts w:hint="eastAsia" w:ascii="宋体" w:hAnsi="宋体" w:eastAsia="黑体"/>
                <w:bCs/>
                <w:color w:val="auto"/>
                <w:sz w:val="21"/>
                <w:szCs w:val="21"/>
                <w:highlight w:val="none"/>
              </w:rPr>
              <w:t>序号</w:t>
            </w:r>
          </w:p>
        </w:tc>
        <w:tc>
          <w:tcPr>
            <w:tcW w:w="7394"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420"/>
              <w:jc w:val="center"/>
              <w:textAlignment w:val="center"/>
              <w:rPr>
                <w:rFonts w:ascii="宋体" w:hAnsi="宋体" w:eastAsia="黑体" w:cs="Times New Roman"/>
                <w:bCs/>
                <w:color w:val="auto"/>
                <w:szCs w:val="21"/>
                <w:highlight w:val="none"/>
              </w:rPr>
            </w:pPr>
            <w:r>
              <w:rPr>
                <w:rFonts w:hint="eastAsia" w:ascii="宋体" w:hAnsi="宋体" w:eastAsia="黑体"/>
                <w:bCs/>
                <w:color w:val="auto"/>
                <w:sz w:val="21"/>
                <w:szCs w:val="21"/>
                <w:highlight w:val="none"/>
              </w:rPr>
              <w:t>项目名称</w:t>
            </w:r>
          </w:p>
        </w:tc>
      </w:tr>
      <w:tr>
        <w:tblPrEx>
          <w:tblCellMar>
            <w:top w:w="0" w:type="dxa"/>
            <w:left w:w="108" w:type="dxa"/>
            <w:bottom w:w="0" w:type="dxa"/>
            <w:right w:w="108" w:type="dxa"/>
          </w:tblCellMar>
        </w:tblPrEx>
        <w:trPr>
          <w:jc w:val="center"/>
        </w:trPr>
        <w:tc>
          <w:tcPr>
            <w:tcW w:w="8519"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ind w:firstLine="482"/>
              <w:jc w:val="center"/>
              <w:textAlignment w:val="center"/>
              <w:rPr>
                <w:rFonts w:ascii="宋体" w:hAnsi="宋体" w:cs="Times New Roman"/>
                <w:b/>
                <w:bCs/>
                <w:color w:val="auto"/>
                <w:sz w:val="24"/>
                <w:highlight w:val="none"/>
              </w:rPr>
            </w:pPr>
            <w:r>
              <w:rPr>
                <w:rFonts w:hint="eastAsia" w:ascii="宋体" w:hAnsi="宋体"/>
                <w:b/>
                <w:bCs/>
                <w:color w:val="auto"/>
                <w:sz w:val="24"/>
                <w:highlight w:val="none"/>
              </w:rPr>
              <w:t>一、矿山生态环境综合治理工程</w:t>
            </w:r>
          </w:p>
        </w:tc>
      </w:tr>
      <w:tr>
        <w:tblPrEx>
          <w:tblCellMar>
            <w:top w:w="0" w:type="dxa"/>
            <w:left w:w="108" w:type="dxa"/>
            <w:bottom w:w="0" w:type="dxa"/>
            <w:right w:w="108" w:type="dxa"/>
          </w:tblCellMar>
        </w:tblPrEx>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spacing w:line="288" w:lineRule="auto"/>
              <w:ind w:firstLine="480"/>
              <w:jc w:val="center"/>
              <w:textAlignment w:val="center"/>
              <w:rPr>
                <w:rFonts w:ascii="宋体" w:hAnsi="宋体" w:cs="Times New Roman"/>
                <w:color w:val="auto"/>
                <w:sz w:val="24"/>
                <w:highlight w:val="none"/>
              </w:rPr>
            </w:pPr>
            <w:r>
              <w:rPr>
                <w:rFonts w:ascii="宋体" w:hAnsi="宋体"/>
                <w:color w:val="auto"/>
                <w:kern w:val="0"/>
                <w:sz w:val="24"/>
                <w:highlight w:val="none"/>
              </w:rPr>
              <w:t>1</w:t>
            </w:r>
          </w:p>
        </w:tc>
        <w:tc>
          <w:tcPr>
            <w:tcW w:w="7394" w:type="dxa"/>
            <w:tcBorders>
              <w:top w:val="single" w:color="000000" w:sz="4" w:space="0"/>
              <w:left w:val="single" w:color="000000" w:sz="4" w:space="0"/>
              <w:bottom w:val="single" w:color="000000" w:sz="4" w:space="0"/>
              <w:right w:val="single" w:color="000000" w:sz="4" w:space="0"/>
            </w:tcBorders>
            <w:vAlign w:val="center"/>
          </w:tcPr>
          <w:p>
            <w:pPr>
              <w:spacing w:line="288" w:lineRule="auto"/>
              <w:ind w:firstLine="480"/>
              <w:jc w:val="center"/>
              <w:textAlignment w:val="center"/>
              <w:rPr>
                <w:rFonts w:ascii="宋体" w:hAnsi="宋体" w:cs="Times New Roman"/>
                <w:color w:val="auto"/>
                <w:sz w:val="24"/>
                <w:highlight w:val="none"/>
              </w:rPr>
            </w:pPr>
            <w:r>
              <w:rPr>
                <w:rFonts w:hint="eastAsia" w:ascii="宋体" w:hAnsi="宋体"/>
                <w:color w:val="auto"/>
                <w:kern w:val="0"/>
                <w:sz w:val="24"/>
                <w:highlight w:val="none"/>
              </w:rPr>
              <w:t>龙南市废弃露天矿山环境治理项目</w:t>
            </w:r>
          </w:p>
        </w:tc>
      </w:tr>
      <w:tr>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spacing w:line="288" w:lineRule="auto"/>
              <w:ind w:firstLine="480"/>
              <w:jc w:val="center"/>
              <w:textAlignment w:val="center"/>
              <w:rPr>
                <w:rFonts w:ascii="宋体" w:hAnsi="宋体" w:cs="Times New Roman"/>
                <w:color w:val="auto"/>
                <w:sz w:val="24"/>
                <w:highlight w:val="none"/>
              </w:rPr>
            </w:pPr>
            <w:r>
              <w:rPr>
                <w:rFonts w:ascii="宋体" w:hAnsi="宋体"/>
                <w:color w:val="auto"/>
                <w:kern w:val="0"/>
                <w:sz w:val="24"/>
                <w:highlight w:val="none"/>
              </w:rPr>
              <w:t>2</w:t>
            </w:r>
          </w:p>
        </w:tc>
        <w:tc>
          <w:tcPr>
            <w:tcW w:w="7394" w:type="dxa"/>
            <w:tcBorders>
              <w:top w:val="single" w:color="000000" w:sz="4" w:space="0"/>
              <w:left w:val="single" w:color="000000" w:sz="4" w:space="0"/>
              <w:bottom w:val="single" w:color="000000" w:sz="4" w:space="0"/>
              <w:right w:val="single" w:color="000000" w:sz="4" w:space="0"/>
            </w:tcBorders>
            <w:vAlign w:val="center"/>
          </w:tcPr>
          <w:p>
            <w:pPr>
              <w:spacing w:line="288" w:lineRule="auto"/>
              <w:ind w:firstLine="480"/>
              <w:jc w:val="center"/>
              <w:textAlignment w:val="center"/>
              <w:rPr>
                <w:rFonts w:ascii="宋体" w:hAnsi="宋体" w:cs="Times New Roman"/>
                <w:color w:val="auto"/>
                <w:sz w:val="24"/>
                <w:highlight w:val="none"/>
              </w:rPr>
            </w:pPr>
            <w:r>
              <w:rPr>
                <w:rFonts w:hint="eastAsia" w:ascii="宋体" w:hAnsi="宋体"/>
                <w:color w:val="auto"/>
                <w:kern w:val="0"/>
                <w:sz w:val="24"/>
                <w:highlight w:val="none"/>
              </w:rPr>
              <w:t>龙南市采煤沉陷区综合治理项目</w:t>
            </w:r>
          </w:p>
        </w:tc>
      </w:tr>
      <w:tr>
        <w:tblPrEx>
          <w:tblCellMar>
            <w:top w:w="0" w:type="dxa"/>
            <w:left w:w="108" w:type="dxa"/>
            <w:bottom w:w="0" w:type="dxa"/>
            <w:right w:w="108" w:type="dxa"/>
          </w:tblCellMar>
        </w:tblPrEx>
        <w:trPr>
          <w:jc w:val="center"/>
        </w:trPr>
        <w:tc>
          <w:tcPr>
            <w:tcW w:w="8519"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ind w:firstLine="482"/>
              <w:jc w:val="center"/>
              <w:textAlignment w:val="center"/>
              <w:rPr>
                <w:rFonts w:ascii="宋体" w:hAnsi="宋体" w:cs="Times New Roman"/>
                <w:b/>
                <w:bCs/>
                <w:color w:val="auto"/>
                <w:kern w:val="0"/>
                <w:sz w:val="24"/>
                <w:highlight w:val="none"/>
              </w:rPr>
            </w:pPr>
            <w:r>
              <w:rPr>
                <w:rFonts w:hint="eastAsia" w:ascii="宋体" w:hAnsi="宋体"/>
                <w:b/>
                <w:bCs/>
                <w:color w:val="auto"/>
                <w:kern w:val="0"/>
                <w:sz w:val="24"/>
                <w:highlight w:val="none"/>
              </w:rPr>
              <w:t>二、水土保持综合治理工程</w:t>
            </w:r>
          </w:p>
        </w:tc>
      </w:tr>
      <w:tr>
        <w:tblPrEx>
          <w:tblCellMar>
            <w:top w:w="0" w:type="dxa"/>
            <w:left w:w="108" w:type="dxa"/>
            <w:bottom w:w="0" w:type="dxa"/>
            <w:right w:w="108" w:type="dxa"/>
          </w:tblCellMar>
        </w:tblPrEx>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spacing w:line="288" w:lineRule="auto"/>
              <w:ind w:firstLine="480"/>
              <w:jc w:val="center"/>
              <w:textAlignment w:val="center"/>
              <w:rPr>
                <w:rFonts w:ascii="宋体" w:hAnsi="宋体"/>
                <w:color w:val="auto"/>
                <w:sz w:val="24"/>
                <w:highlight w:val="none"/>
              </w:rPr>
            </w:pPr>
            <w:r>
              <w:rPr>
                <w:rFonts w:ascii="宋体" w:hAnsi="宋体"/>
                <w:color w:val="auto"/>
                <w:sz w:val="24"/>
                <w:highlight w:val="none"/>
              </w:rPr>
              <w:t>3</w:t>
            </w:r>
          </w:p>
        </w:tc>
        <w:tc>
          <w:tcPr>
            <w:tcW w:w="7394" w:type="dxa"/>
            <w:tcBorders>
              <w:top w:val="single" w:color="000000" w:sz="4" w:space="0"/>
              <w:left w:val="single" w:color="000000" w:sz="4" w:space="0"/>
              <w:bottom w:val="single" w:color="000000" w:sz="4" w:space="0"/>
              <w:right w:val="single" w:color="000000" w:sz="4" w:space="0"/>
            </w:tcBorders>
            <w:vAlign w:val="center"/>
          </w:tcPr>
          <w:p>
            <w:pPr>
              <w:spacing w:line="288" w:lineRule="auto"/>
              <w:ind w:firstLine="480"/>
              <w:jc w:val="center"/>
              <w:textAlignment w:val="center"/>
              <w:rPr>
                <w:rFonts w:ascii="宋体" w:hAnsi="宋体" w:cs="Times New Roman"/>
                <w:color w:val="auto"/>
                <w:sz w:val="24"/>
                <w:highlight w:val="none"/>
              </w:rPr>
            </w:pPr>
            <w:r>
              <w:rPr>
                <w:rFonts w:hint="eastAsia" w:ascii="宋体" w:hAnsi="宋体"/>
                <w:color w:val="auto"/>
                <w:kern w:val="0"/>
                <w:sz w:val="24"/>
                <w:highlight w:val="none"/>
              </w:rPr>
              <w:t>国家水土保持重点工程项目</w:t>
            </w:r>
          </w:p>
        </w:tc>
      </w:tr>
      <w:tr>
        <w:tblPrEx>
          <w:tblCellMar>
            <w:top w:w="0" w:type="dxa"/>
            <w:left w:w="108" w:type="dxa"/>
            <w:bottom w:w="0" w:type="dxa"/>
            <w:right w:w="108" w:type="dxa"/>
          </w:tblCellMar>
        </w:tblPrEx>
        <w:trPr>
          <w:jc w:val="center"/>
        </w:trPr>
        <w:tc>
          <w:tcPr>
            <w:tcW w:w="8519"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ind w:firstLine="482"/>
              <w:jc w:val="center"/>
              <w:textAlignment w:val="center"/>
              <w:rPr>
                <w:rFonts w:ascii="宋体" w:hAnsi="宋体" w:cs="Times New Roman"/>
                <w:b/>
                <w:bCs/>
                <w:color w:val="auto"/>
                <w:kern w:val="0"/>
                <w:sz w:val="24"/>
                <w:highlight w:val="none"/>
              </w:rPr>
            </w:pPr>
            <w:r>
              <w:rPr>
                <w:rFonts w:hint="eastAsia" w:ascii="宋体" w:hAnsi="宋体"/>
                <w:b/>
                <w:bCs/>
                <w:color w:val="auto"/>
                <w:kern w:val="0"/>
                <w:sz w:val="24"/>
                <w:highlight w:val="none"/>
              </w:rPr>
              <w:t>三、森林质量提升及生物多样性保护生态廊道建设工程</w:t>
            </w:r>
          </w:p>
        </w:tc>
      </w:tr>
      <w:tr>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spacing w:line="288" w:lineRule="auto"/>
              <w:ind w:firstLine="480"/>
              <w:jc w:val="center"/>
              <w:textAlignment w:val="center"/>
              <w:rPr>
                <w:rFonts w:hint="eastAsia" w:ascii="宋体" w:hAnsi="宋体" w:eastAsia="仿宋"/>
                <w:color w:val="auto"/>
                <w:sz w:val="24"/>
                <w:highlight w:val="none"/>
                <w:lang w:eastAsia="zh-CN"/>
              </w:rPr>
            </w:pPr>
            <w:r>
              <w:rPr>
                <w:rFonts w:hint="eastAsia" w:ascii="宋体" w:hAnsi="宋体"/>
                <w:color w:val="auto"/>
                <w:sz w:val="24"/>
                <w:highlight w:val="none"/>
                <w:lang w:val="en-US" w:eastAsia="zh-CN"/>
              </w:rPr>
              <w:t>4</w:t>
            </w:r>
          </w:p>
        </w:tc>
        <w:tc>
          <w:tcPr>
            <w:tcW w:w="7394" w:type="dxa"/>
            <w:tcBorders>
              <w:top w:val="single" w:color="000000" w:sz="4" w:space="0"/>
              <w:left w:val="single" w:color="000000" w:sz="4" w:space="0"/>
              <w:bottom w:val="single" w:color="000000" w:sz="4" w:space="0"/>
              <w:right w:val="single" w:color="000000" w:sz="4" w:space="0"/>
            </w:tcBorders>
            <w:vAlign w:val="center"/>
          </w:tcPr>
          <w:p>
            <w:pPr>
              <w:spacing w:line="288" w:lineRule="auto"/>
              <w:ind w:firstLine="480"/>
              <w:jc w:val="center"/>
              <w:textAlignment w:val="center"/>
              <w:rPr>
                <w:rFonts w:ascii="宋体" w:hAnsi="宋体" w:cs="Times New Roman"/>
                <w:color w:val="auto"/>
                <w:sz w:val="24"/>
                <w:highlight w:val="none"/>
              </w:rPr>
            </w:pPr>
            <w:r>
              <w:rPr>
                <w:rFonts w:hint="eastAsia" w:ascii="宋体" w:hAnsi="宋体"/>
                <w:color w:val="auto"/>
                <w:kern w:val="0"/>
                <w:sz w:val="24"/>
                <w:highlight w:val="none"/>
              </w:rPr>
              <w:t>低质低效林改造项目</w:t>
            </w:r>
          </w:p>
        </w:tc>
      </w:tr>
      <w:tr>
        <w:tblPrEx>
          <w:tblCellMar>
            <w:top w:w="0" w:type="dxa"/>
            <w:left w:w="108" w:type="dxa"/>
            <w:bottom w:w="0" w:type="dxa"/>
            <w:right w:w="108" w:type="dxa"/>
          </w:tblCellMar>
        </w:tblPrEx>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spacing w:line="288" w:lineRule="auto"/>
              <w:ind w:firstLine="480"/>
              <w:jc w:val="center"/>
              <w:textAlignment w:val="center"/>
              <w:rPr>
                <w:rFonts w:hint="eastAsia" w:ascii="宋体" w:hAnsi="宋体" w:eastAsia="仿宋"/>
                <w:color w:val="auto"/>
                <w:kern w:val="0"/>
                <w:sz w:val="24"/>
                <w:highlight w:val="none"/>
                <w:lang w:eastAsia="zh-CN"/>
              </w:rPr>
            </w:pPr>
            <w:r>
              <w:rPr>
                <w:rFonts w:hint="eastAsia" w:ascii="宋体" w:hAnsi="宋体"/>
                <w:color w:val="auto"/>
                <w:kern w:val="0"/>
                <w:sz w:val="24"/>
                <w:highlight w:val="none"/>
                <w:lang w:val="en-US" w:eastAsia="zh-CN"/>
              </w:rPr>
              <w:t>5</w:t>
            </w:r>
          </w:p>
        </w:tc>
        <w:tc>
          <w:tcPr>
            <w:tcW w:w="7394"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480"/>
              <w:jc w:val="center"/>
              <w:textAlignment w:val="center"/>
              <w:rPr>
                <w:rFonts w:ascii="宋体" w:hAnsi="宋体" w:cs="Times New Roman"/>
                <w:color w:val="auto"/>
                <w:kern w:val="0"/>
                <w:sz w:val="24"/>
                <w:highlight w:val="none"/>
              </w:rPr>
            </w:pPr>
            <w:r>
              <w:rPr>
                <w:rFonts w:hint="eastAsia" w:ascii="宋体" w:hAnsi="宋体"/>
                <w:color w:val="auto"/>
                <w:kern w:val="0"/>
                <w:sz w:val="24"/>
                <w:highlight w:val="none"/>
              </w:rPr>
              <w:t>赣南区域国土绿化试点示范项目</w:t>
            </w:r>
          </w:p>
        </w:tc>
      </w:tr>
      <w:tr>
        <w:tblPrEx>
          <w:tblCellMar>
            <w:top w:w="0" w:type="dxa"/>
            <w:left w:w="108" w:type="dxa"/>
            <w:bottom w:w="0" w:type="dxa"/>
            <w:right w:w="108" w:type="dxa"/>
          </w:tblCellMar>
        </w:tblPrEx>
        <w:trPr>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spacing w:line="288" w:lineRule="auto"/>
              <w:ind w:firstLine="480"/>
              <w:jc w:val="center"/>
              <w:textAlignment w:val="center"/>
              <w:rPr>
                <w:rFonts w:hint="eastAsia" w:ascii="宋体" w:hAnsi="宋体" w:eastAsia="仿宋"/>
                <w:color w:val="auto"/>
                <w:kern w:val="0"/>
                <w:sz w:val="24"/>
                <w:highlight w:val="none"/>
                <w:lang w:eastAsia="zh-CN"/>
              </w:rPr>
            </w:pPr>
            <w:r>
              <w:rPr>
                <w:rFonts w:hint="eastAsia" w:ascii="宋体" w:hAnsi="宋体"/>
                <w:color w:val="auto"/>
                <w:kern w:val="0"/>
                <w:sz w:val="24"/>
                <w:highlight w:val="none"/>
                <w:lang w:val="en-US" w:eastAsia="zh-CN"/>
              </w:rPr>
              <w:t>6</w:t>
            </w:r>
          </w:p>
        </w:tc>
        <w:tc>
          <w:tcPr>
            <w:tcW w:w="7394"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480"/>
              <w:jc w:val="center"/>
              <w:textAlignment w:val="center"/>
              <w:rPr>
                <w:rFonts w:ascii="宋体" w:hAnsi="宋体" w:cs="Times New Roman"/>
                <w:color w:val="auto"/>
                <w:kern w:val="0"/>
                <w:sz w:val="24"/>
                <w:highlight w:val="none"/>
              </w:rPr>
            </w:pPr>
            <w:r>
              <w:rPr>
                <w:rFonts w:hint="eastAsia" w:ascii="宋体" w:hAnsi="宋体"/>
                <w:color w:val="auto"/>
                <w:kern w:val="0"/>
                <w:sz w:val="24"/>
                <w:highlight w:val="none"/>
              </w:rPr>
              <w:t>南岭-九连山山脉森林质量提升及生物多样性保护生态廊道建设项目</w:t>
            </w:r>
          </w:p>
        </w:tc>
      </w:tr>
    </w:tbl>
    <w:p>
      <w:pPr>
        <w:keepNext w:val="0"/>
        <w:keepLines w:val="0"/>
        <w:pageBreakBefore w:val="0"/>
        <w:widowControl w:val="0"/>
        <w:kinsoku/>
        <w:wordWrap/>
        <w:overflowPunct w:val="0"/>
        <w:topLinePunct w:val="0"/>
        <w:autoSpaceDE w:val="0"/>
        <w:autoSpaceDN w:val="0"/>
        <w:bidi w:val="0"/>
        <w:adjustRightInd w:val="0"/>
        <w:snapToGrid w:val="0"/>
        <w:spacing w:before="313" w:beforeLines="100" w:after="156" w:afterLines="50" w:line="560" w:lineRule="exact"/>
        <w:ind w:left="0" w:leftChars="0" w:firstLine="0" w:firstLineChars="0"/>
        <w:jc w:val="left"/>
        <w:textAlignment w:val="auto"/>
        <w:outlineLvl w:val="2"/>
        <w:rPr>
          <w:rFonts w:cs="仿宋"/>
          <w:b/>
          <w:color w:val="auto"/>
          <w:kern w:val="0"/>
          <w:sz w:val="32"/>
          <w:szCs w:val="32"/>
          <w:highlight w:val="none"/>
        </w:rPr>
      </w:pPr>
      <w:r>
        <w:rPr>
          <w:rFonts w:hint="eastAsia" w:cs="仿宋"/>
          <w:b/>
          <w:color w:val="auto"/>
          <w:kern w:val="0"/>
          <w:sz w:val="32"/>
          <w:szCs w:val="32"/>
          <w:highlight w:val="none"/>
        </w:rPr>
        <w:t>一、矿山生态环境综合治理工程</w:t>
      </w:r>
    </w:p>
    <w:p>
      <w:pPr>
        <w:keepNext w:val="0"/>
        <w:keepLines w:val="0"/>
        <w:pageBreakBefore w:val="0"/>
        <w:widowControl w:val="0"/>
        <w:kinsoku/>
        <w:wordWrap/>
        <w:overflowPunct w:val="0"/>
        <w:topLinePunct w:val="0"/>
        <w:autoSpaceDE/>
        <w:autoSpaceDN/>
        <w:bidi w:val="0"/>
        <w:adjustRightInd/>
        <w:snapToGrid/>
        <w:ind w:firstLine="640"/>
        <w:textAlignment w:val="auto"/>
        <w:rPr>
          <w:rFonts w:hint="eastAsia"/>
          <w:color w:val="auto"/>
          <w:highlight w:val="none"/>
        </w:rPr>
      </w:pPr>
      <w:r>
        <w:rPr>
          <w:rFonts w:hint="eastAsia"/>
          <w:color w:val="auto"/>
          <w:highlight w:val="none"/>
        </w:rPr>
        <w:t>部署“龙南市废弃露天矿山环境治理项目”、“龙南市采煤沉陷区综合治理项目”2个项目。</w:t>
      </w:r>
    </w:p>
    <w:p>
      <w:pPr>
        <w:keepNext w:val="0"/>
        <w:keepLines w:val="0"/>
        <w:pageBreakBefore w:val="0"/>
        <w:widowControl w:val="0"/>
        <w:kinsoku/>
        <w:wordWrap/>
        <w:overflowPunct w:val="0"/>
        <w:topLinePunct w:val="0"/>
        <w:autoSpaceDE w:val="0"/>
        <w:autoSpaceDN w:val="0"/>
        <w:bidi w:val="0"/>
        <w:adjustRightInd w:val="0"/>
        <w:snapToGrid w:val="0"/>
        <w:spacing w:before="78" w:beforeLines="25" w:after="78" w:afterLines="25" w:line="560" w:lineRule="exact"/>
        <w:ind w:left="0" w:firstLine="562"/>
        <w:jc w:val="left"/>
        <w:textAlignment w:val="auto"/>
        <w:outlineLvl w:val="9"/>
        <w:rPr>
          <w:rFonts w:cs="仿宋"/>
          <w:b/>
          <w:color w:val="auto"/>
          <w:kern w:val="0"/>
          <w:sz w:val="32"/>
          <w:szCs w:val="32"/>
          <w:highlight w:val="none"/>
        </w:rPr>
      </w:pPr>
      <w:r>
        <w:rPr>
          <w:rFonts w:hint="eastAsia" w:cs="仿宋"/>
          <w:b/>
          <w:color w:val="auto"/>
          <w:kern w:val="0"/>
          <w:sz w:val="32"/>
          <w:szCs w:val="32"/>
          <w:highlight w:val="none"/>
        </w:rPr>
        <w:t>（一）总体目标</w:t>
      </w:r>
    </w:p>
    <w:p>
      <w:pPr>
        <w:ind w:firstLine="640"/>
        <w:rPr>
          <w:color w:val="auto"/>
          <w:highlight w:val="none"/>
        </w:rPr>
      </w:pPr>
      <w:r>
        <w:rPr>
          <w:rFonts w:hint="eastAsia"/>
          <w:color w:val="auto"/>
          <w:highlight w:val="none"/>
        </w:rPr>
        <w:t>完成龙南市废弃露天矿山生态修复任务和采煤沉陷区综合治理任务。深入推进国家生态文明试验区（江西）建设的时代背景下，通过项目来推进赣州市生态文明建设，筑牢南方丘陵山地生态安全屏障，为赣州经济高质量发展奠定良好的生态环境基础。</w:t>
      </w:r>
    </w:p>
    <w:p>
      <w:pPr>
        <w:keepNext w:val="0"/>
        <w:keepLines w:val="0"/>
        <w:pageBreakBefore w:val="0"/>
        <w:widowControl w:val="0"/>
        <w:kinsoku/>
        <w:wordWrap/>
        <w:overflowPunct w:val="0"/>
        <w:topLinePunct w:val="0"/>
        <w:autoSpaceDE w:val="0"/>
        <w:autoSpaceDN w:val="0"/>
        <w:bidi w:val="0"/>
        <w:adjustRightInd w:val="0"/>
        <w:snapToGrid w:val="0"/>
        <w:spacing w:before="78" w:beforeLines="25" w:after="78" w:afterLines="25" w:line="560" w:lineRule="exact"/>
        <w:ind w:left="0" w:firstLine="562"/>
        <w:jc w:val="left"/>
        <w:textAlignment w:val="auto"/>
        <w:outlineLvl w:val="9"/>
        <w:rPr>
          <w:rFonts w:cs="仿宋"/>
          <w:b/>
          <w:color w:val="auto"/>
          <w:kern w:val="0"/>
          <w:sz w:val="32"/>
          <w:szCs w:val="32"/>
          <w:highlight w:val="none"/>
        </w:rPr>
      </w:pPr>
      <w:r>
        <w:rPr>
          <w:rFonts w:hint="eastAsia" w:cs="仿宋"/>
          <w:b/>
          <w:color w:val="auto"/>
          <w:kern w:val="0"/>
          <w:sz w:val="32"/>
          <w:szCs w:val="32"/>
          <w:highlight w:val="none"/>
        </w:rPr>
        <w:t>（二）主要任务</w:t>
      </w:r>
    </w:p>
    <w:p>
      <w:pPr>
        <w:ind w:firstLine="640"/>
        <w:rPr>
          <w:color w:val="auto"/>
          <w:highlight w:val="none"/>
        </w:rPr>
      </w:pPr>
      <w:r>
        <w:rPr>
          <w:rFonts w:hint="eastAsia"/>
          <w:color w:val="auto"/>
          <w:highlight w:val="none"/>
        </w:rPr>
        <w:t>统筹谋划赣州废弃露天矿山环境治理组织管理、实施时序、项目安排、资金来源等措施，科学合理推进辖区内废弃露天矿山生态修复工作。对龙南市政策性关停煤矿、炭质页岩矿、煤矸石堆废弃矿区进行生态修复。</w:t>
      </w:r>
    </w:p>
    <w:p>
      <w:pPr>
        <w:spacing w:line="240" w:lineRule="exact"/>
        <w:ind w:firstLine="560"/>
        <w:rPr>
          <w:rFonts w:ascii="宋体" w:hAnsi="宋体" w:cs="Times New Roman"/>
          <w:color w:val="auto"/>
          <w:kern w:val="0"/>
          <w:sz w:val="28"/>
          <w:szCs w:val="28"/>
          <w:highlight w:val="none"/>
        </w:rPr>
      </w:pP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580" w:lineRule="exact"/>
              <w:ind w:left="0" w:leftChars="0" w:firstLine="0" w:firstLineChars="0"/>
              <w:jc w:val="center"/>
              <w:rPr>
                <w:rFonts w:ascii="宋体" w:hAnsi="宋体" w:eastAsia="仿宋_GB2312" w:cs="Times New Roman"/>
                <w:color w:val="auto"/>
                <w:kern w:val="0"/>
                <w:sz w:val="24"/>
                <w:highlight w:val="none"/>
              </w:rPr>
            </w:pPr>
            <w:r>
              <w:rPr>
                <w:rFonts w:hint="eastAsia" w:ascii="宋体" w:hAnsi="宋体" w:cs="仿宋_GB2312"/>
                <w:b/>
                <w:bCs/>
                <w:color w:val="auto"/>
                <w:kern w:val="0"/>
                <w:sz w:val="24"/>
                <w:highlight w:val="none"/>
              </w:rPr>
              <w:t>专栏5</w:t>
            </w:r>
            <w:r>
              <w:rPr>
                <w:rFonts w:ascii="宋体" w:hAnsi="宋体" w:cs="Times New Roman"/>
                <w:b/>
                <w:bCs/>
                <w:color w:val="auto"/>
                <w:kern w:val="0"/>
                <w:sz w:val="24"/>
                <w:highlight w:val="none"/>
              </w:rPr>
              <w:t>-2</w:t>
            </w:r>
            <w:r>
              <w:rPr>
                <w:rFonts w:hint="eastAsia" w:ascii="宋体" w:hAnsi="宋体" w:cs="Times New Roman"/>
                <w:b/>
                <w:bCs/>
                <w:color w:val="auto"/>
                <w:kern w:val="0"/>
                <w:sz w:val="24"/>
                <w:highlight w:val="none"/>
                <w:lang w:val="en-US" w:eastAsia="zh-CN"/>
              </w:rPr>
              <w:t xml:space="preserve">  </w:t>
            </w:r>
            <w:r>
              <w:rPr>
                <w:rFonts w:hint="eastAsia" w:ascii="宋体" w:hAnsi="宋体"/>
                <w:b/>
                <w:bCs/>
                <w:color w:val="auto"/>
                <w:sz w:val="24"/>
                <w:highlight w:val="none"/>
              </w:rPr>
              <w:t>矿山生态环境综合治理与农田生态提质工程预期成果表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580" w:lineRule="exact"/>
              <w:ind w:firstLine="482"/>
              <w:rPr>
                <w:rFonts w:ascii="宋体" w:hAnsi="宋体" w:cs="仿宋_GB2312"/>
                <w:b/>
                <w:bCs/>
                <w:color w:val="auto"/>
                <w:kern w:val="0"/>
                <w:sz w:val="24"/>
                <w:highlight w:val="none"/>
              </w:rPr>
            </w:pPr>
            <w:r>
              <w:rPr>
                <w:rFonts w:hint="eastAsia" w:ascii="宋体" w:hAnsi="宋体" w:cs="仿宋_GB2312"/>
                <w:b/>
                <w:bCs/>
                <w:color w:val="auto"/>
                <w:kern w:val="0"/>
                <w:sz w:val="24"/>
                <w:highlight w:val="none"/>
              </w:rPr>
              <w:t>1、赣州市废弃露天矿山环境治理项目</w:t>
            </w:r>
          </w:p>
          <w:p>
            <w:pPr>
              <w:keepNext w:val="0"/>
              <w:keepLines w:val="0"/>
              <w:pageBreakBefore w:val="0"/>
              <w:widowControl w:val="0"/>
              <w:kinsoku/>
              <w:wordWrap/>
              <w:overflowPunct w:val="0"/>
              <w:topLinePunct w:val="0"/>
              <w:autoSpaceDE w:val="0"/>
              <w:autoSpaceDN w:val="0"/>
              <w:bidi w:val="0"/>
              <w:adjustRightInd w:val="0"/>
              <w:snapToGrid/>
              <w:spacing w:after="157" w:afterLines="50" w:line="400" w:lineRule="exact"/>
              <w:ind w:firstLine="480"/>
              <w:textAlignment w:val="auto"/>
              <w:rPr>
                <w:rFonts w:ascii="宋体" w:hAnsi="宋体" w:eastAsia="仿宋_GB2312" w:cs="Times New Roman"/>
                <w:color w:val="auto"/>
                <w:kern w:val="0"/>
                <w:sz w:val="24"/>
                <w:highlight w:val="none"/>
              </w:rPr>
            </w:pPr>
            <w:r>
              <w:rPr>
                <w:rFonts w:hint="eastAsia" w:ascii="Times New Roman" w:hAnsi="Times New Roman" w:cs="Times New Roman"/>
                <w:color w:val="auto"/>
                <w:kern w:val="0"/>
                <w:sz w:val="24"/>
                <w:highlight w:val="none"/>
                <w:lang w:val="en-US" w:eastAsia="zh-CN"/>
              </w:rPr>
              <w:t>涉及龙南镇、里仁镇、杨村镇、武当乡、南亨乡。</w:t>
            </w:r>
            <w:r>
              <w:rPr>
                <w:rFonts w:hint="default" w:ascii="Times New Roman" w:hAnsi="Times New Roman" w:cs="Times New Roman"/>
                <w:color w:val="auto"/>
                <w:kern w:val="0"/>
                <w:sz w:val="24"/>
                <w:highlight w:val="none"/>
              </w:rPr>
              <w:t>完成历史遗留矿山生态修复治理24处，治理面积66.44公顷。主要任务为：1）矿山地质灾害治理；2）矿区土地复垦；3）矿区植被恢复。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580" w:lineRule="exact"/>
              <w:ind w:firstLine="482"/>
              <w:rPr>
                <w:rFonts w:ascii="宋体" w:hAnsi="宋体" w:cs="仿宋_GB2312"/>
                <w:b/>
                <w:bCs/>
                <w:color w:val="auto"/>
                <w:kern w:val="0"/>
                <w:sz w:val="24"/>
                <w:highlight w:val="none"/>
              </w:rPr>
            </w:pPr>
            <w:r>
              <w:rPr>
                <w:rFonts w:hint="eastAsia" w:ascii="宋体" w:hAnsi="宋体" w:cs="仿宋_GB2312"/>
                <w:b/>
                <w:bCs/>
                <w:color w:val="auto"/>
                <w:kern w:val="0"/>
                <w:sz w:val="24"/>
                <w:highlight w:val="none"/>
              </w:rPr>
              <w:t>2、龙南市采煤沉陷区综合治理项目</w:t>
            </w:r>
          </w:p>
          <w:p>
            <w:pPr>
              <w:keepNext w:val="0"/>
              <w:keepLines w:val="0"/>
              <w:pageBreakBefore w:val="0"/>
              <w:widowControl w:val="0"/>
              <w:kinsoku/>
              <w:wordWrap/>
              <w:overflowPunct w:val="0"/>
              <w:topLinePunct w:val="0"/>
              <w:autoSpaceDE w:val="0"/>
              <w:autoSpaceDN w:val="0"/>
              <w:bidi w:val="0"/>
              <w:adjustRightInd w:val="0"/>
              <w:snapToGrid/>
              <w:spacing w:after="157" w:afterLines="50" w:line="400" w:lineRule="exact"/>
              <w:ind w:firstLine="480"/>
              <w:textAlignment w:val="auto"/>
              <w:rPr>
                <w:rFonts w:hint="eastAsia" w:ascii="宋体" w:hAnsi="宋体" w:eastAsia="仿宋"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涉及龙南镇、东江乡、临塘乡、汶龙镇。</w:t>
            </w:r>
            <w:r>
              <w:rPr>
                <w:rFonts w:hint="default" w:ascii="Times New Roman" w:hAnsi="Times New Roman" w:cs="Times New Roman"/>
                <w:color w:val="auto"/>
                <w:kern w:val="0"/>
                <w:sz w:val="24"/>
                <w:highlight w:val="none"/>
              </w:rPr>
              <w:t>完成龙南市采煤沉陷区生态修复和环境整治，治理面积约</w:t>
            </w:r>
            <w:r>
              <w:rPr>
                <w:rFonts w:hint="eastAsia" w:cs="Times New Roman"/>
                <w:color w:val="auto"/>
                <w:kern w:val="0"/>
                <w:sz w:val="24"/>
                <w:highlight w:val="none"/>
                <w:lang w:val="en-US" w:eastAsia="zh-CN"/>
              </w:rPr>
              <w:t>2865</w:t>
            </w:r>
            <w:r>
              <w:rPr>
                <w:rFonts w:hint="default" w:ascii="Times New Roman" w:hAnsi="Times New Roman" w:cs="Times New Roman"/>
                <w:color w:val="auto"/>
                <w:kern w:val="0"/>
                <w:sz w:val="24"/>
                <w:highlight w:val="none"/>
              </w:rPr>
              <w:t>亩</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其中重点沉陷区治理面积约1500亩。</w:t>
            </w:r>
          </w:p>
        </w:tc>
      </w:tr>
    </w:tbl>
    <w:p>
      <w:pPr>
        <w:pStyle w:val="6"/>
        <w:keepNext/>
        <w:keepLines/>
        <w:pageBreakBefore w:val="0"/>
        <w:widowControl w:val="0"/>
        <w:kinsoku/>
        <w:wordWrap/>
        <w:overflowPunct w:val="0"/>
        <w:topLinePunct w:val="0"/>
        <w:autoSpaceDE/>
        <w:autoSpaceDN/>
        <w:bidi w:val="0"/>
        <w:adjustRightInd/>
        <w:snapToGrid/>
        <w:spacing w:before="313" w:beforeLines="100"/>
        <w:textAlignment w:val="auto"/>
        <w:rPr>
          <w:color w:val="auto"/>
          <w:highlight w:val="none"/>
        </w:rPr>
      </w:pPr>
      <w:r>
        <w:rPr>
          <w:rFonts w:hint="eastAsia"/>
          <w:color w:val="auto"/>
          <w:highlight w:val="none"/>
        </w:rPr>
        <w:t>二、水土保持综合治理工程</w:t>
      </w:r>
    </w:p>
    <w:p>
      <w:pPr>
        <w:ind w:firstLine="640"/>
        <w:rPr>
          <w:b/>
          <w:bCs/>
          <w:color w:val="auto"/>
          <w:highlight w:val="none"/>
        </w:rPr>
      </w:pPr>
      <w:r>
        <w:rPr>
          <w:rFonts w:hint="eastAsia"/>
          <w:color w:val="auto"/>
          <w:highlight w:val="none"/>
        </w:rPr>
        <w:t>部署“水生态保护与修复工程”1个项目。主要分布于桃江片区的水土流失较严重的花岗岩分布区。</w:t>
      </w:r>
    </w:p>
    <w:p>
      <w:pPr>
        <w:keepNext w:val="0"/>
        <w:keepLines w:val="0"/>
        <w:pageBreakBefore w:val="0"/>
        <w:widowControl w:val="0"/>
        <w:kinsoku/>
        <w:wordWrap/>
        <w:overflowPunct w:val="0"/>
        <w:topLinePunct w:val="0"/>
        <w:autoSpaceDE/>
        <w:autoSpaceDN/>
        <w:bidi w:val="0"/>
        <w:adjustRightInd/>
        <w:snapToGrid/>
        <w:ind w:firstLine="640"/>
        <w:textAlignment w:val="auto"/>
        <w:rPr>
          <w:color w:val="auto"/>
          <w:highlight w:val="none"/>
        </w:rPr>
      </w:pPr>
      <w:r>
        <w:rPr>
          <w:rFonts w:hint="eastAsia"/>
          <w:b/>
          <w:bCs/>
          <w:color w:val="auto"/>
          <w:highlight w:val="none"/>
        </w:rPr>
        <w:t>（一）总体目标</w:t>
      </w:r>
    </w:p>
    <w:p>
      <w:pPr>
        <w:ind w:firstLine="640"/>
        <w:rPr>
          <w:color w:val="auto"/>
          <w:highlight w:val="none"/>
        </w:rPr>
      </w:pPr>
      <w:r>
        <w:rPr>
          <w:rFonts w:hint="eastAsia"/>
          <w:color w:val="auto"/>
          <w:highlight w:val="none"/>
        </w:rPr>
        <w:t>大力实施生态清洁型、生态经济型、生态旅游型小流域综合治理，统筹山水林田草诸要素，科学规划工程措施、植物措施、农业技术、清洁措施和管理措施，优化水土资源配置，提高土地生产力，发展特色优势产业，促进农业生产基础设施提质增效，持续改善生态和民生，保障区域经济社会可持续发展。</w:t>
      </w:r>
    </w:p>
    <w:p>
      <w:pPr>
        <w:keepNext w:val="0"/>
        <w:keepLines w:val="0"/>
        <w:pageBreakBefore w:val="0"/>
        <w:widowControl w:val="0"/>
        <w:kinsoku/>
        <w:wordWrap/>
        <w:overflowPunct w:val="0"/>
        <w:topLinePunct w:val="0"/>
        <w:autoSpaceDE/>
        <w:autoSpaceDN/>
        <w:bidi w:val="0"/>
        <w:adjustRightInd/>
        <w:snapToGrid/>
        <w:ind w:firstLine="640"/>
        <w:textAlignment w:val="auto"/>
        <w:rPr>
          <w:rFonts w:hint="eastAsia"/>
          <w:b/>
          <w:bCs/>
          <w:color w:val="auto"/>
          <w:highlight w:val="none"/>
        </w:rPr>
      </w:pPr>
      <w:r>
        <w:rPr>
          <w:rFonts w:hint="eastAsia"/>
          <w:b/>
          <w:bCs/>
          <w:color w:val="auto"/>
          <w:highlight w:val="none"/>
        </w:rPr>
        <w:t>（二）主要任务</w:t>
      </w:r>
    </w:p>
    <w:p>
      <w:pPr>
        <w:ind w:firstLine="640"/>
        <w:rPr>
          <w:rFonts w:eastAsia="黑体" w:cs="黑体"/>
          <w:color w:val="auto"/>
          <w:sz w:val="36"/>
          <w:szCs w:val="36"/>
          <w:highlight w:val="none"/>
        </w:rPr>
      </w:pPr>
      <w:r>
        <w:rPr>
          <w:rFonts w:hint="eastAsia"/>
          <w:color w:val="auto"/>
          <w:highlight w:val="none"/>
        </w:rPr>
        <w:t>根据赣州市国家水土保持项目总体目标任务的要求，以年度目标任务方式分解下达至龙南市，全面完成龙南市的目标任务。以减少水土流失和恢复受损植被为目的，通过植树造林、封山育林、退耕还林，乔灌草相结合，修复退化生态系统，增加森林植被覆盖率。</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pStyle w:val="47"/>
              <w:autoSpaceDE w:val="0"/>
              <w:autoSpaceDN w:val="0"/>
              <w:adjustRightInd w:val="0"/>
              <w:spacing w:line="580" w:lineRule="exact"/>
              <w:ind w:left="0" w:leftChars="0" w:firstLine="0" w:firstLineChars="0"/>
              <w:jc w:val="center"/>
              <w:rPr>
                <w:rFonts w:ascii="宋体" w:hAnsi="宋体" w:eastAsia="仿宋_GB2312" w:cs="Times New Roman"/>
                <w:color w:val="auto"/>
                <w:kern w:val="0"/>
                <w:sz w:val="24"/>
                <w:highlight w:val="none"/>
              </w:rPr>
            </w:pPr>
            <w:r>
              <w:rPr>
                <w:rFonts w:hint="eastAsia" w:ascii="宋体" w:hAnsi="宋体" w:cs="仿宋_GB2312"/>
                <w:b/>
                <w:bCs/>
                <w:color w:val="auto"/>
                <w:kern w:val="0"/>
                <w:sz w:val="24"/>
                <w:highlight w:val="none"/>
              </w:rPr>
              <w:t>专栏</w:t>
            </w:r>
            <w:r>
              <w:rPr>
                <w:rFonts w:hint="eastAsia" w:ascii="宋体" w:hAnsi="宋体" w:cs="仿宋_GB2312"/>
                <w:b/>
                <w:bCs/>
                <w:color w:val="auto"/>
                <w:kern w:val="0"/>
                <w:sz w:val="24"/>
                <w:highlight w:val="none"/>
                <w:lang w:val="en-US" w:eastAsia="zh-CN"/>
              </w:rPr>
              <w:t xml:space="preserve">  </w:t>
            </w:r>
            <w:r>
              <w:rPr>
                <w:rFonts w:hint="eastAsia" w:ascii="宋体" w:hAnsi="宋体" w:cs="仿宋_GB2312"/>
                <w:b/>
                <w:bCs/>
                <w:color w:val="auto"/>
                <w:kern w:val="0"/>
                <w:sz w:val="24"/>
                <w:highlight w:val="none"/>
              </w:rPr>
              <w:t>5</w:t>
            </w:r>
            <w:r>
              <w:rPr>
                <w:rFonts w:ascii="宋体" w:hAnsi="宋体" w:cs="Times New Roman"/>
                <w:b/>
                <w:bCs/>
                <w:color w:val="auto"/>
                <w:kern w:val="0"/>
                <w:sz w:val="24"/>
                <w:highlight w:val="none"/>
              </w:rPr>
              <w:t>-</w:t>
            </w:r>
            <w:r>
              <w:rPr>
                <w:rFonts w:hint="eastAsia" w:ascii="宋体" w:hAnsi="宋体" w:cs="Times New Roman"/>
                <w:b/>
                <w:bCs/>
                <w:color w:val="auto"/>
                <w:kern w:val="0"/>
                <w:sz w:val="24"/>
                <w:highlight w:val="none"/>
              </w:rPr>
              <w:t>3</w:t>
            </w:r>
            <w:r>
              <w:rPr>
                <w:rFonts w:hint="eastAsia" w:ascii="宋体" w:hAnsi="宋体" w:cs="仿宋_GB2312"/>
                <w:b/>
                <w:bCs/>
                <w:color w:val="auto"/>
                <w:kern w:val="0"/>
                <w:sz w:val="24"/>
                <w:highlight w:val="none"/>
              </w:rPr>
              <w:t>水土保持工程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580" w:lineRule="exact"/>
              <w:ind w:firstLine="482"/>
              <w:rPr>
                <w:rFonts w:ascii="宋体" w:hAnsi="宋体" w:cs="仿宋_GB2312"/>
                <w:b/>
                <w:bCs/>
                <w:color w:val="auto"/>
                <w:kern w:val="0"/>
                <w:sz w:val="24"/>
                <w:highlight w:val="none"/>
              </w:rPr>
            </w:pPr>
            <w:r>
              <w:rPr>
                <w:rFonts w:hint="eastAsia" w:ascii="宋体" w:hAnsi="宋体" w:cs="仿宋_GB2312"/>
                <w:b/>
                <w:bCs/>
                <w:color w:val="auto"/>
                <w:kern w:val="0"/>
                <w:sz w:val="24"/>
                <w:highlight w:val="none"/>
              </w:rPr>
              <w:t>1、国家水土保持重点工程项目</w:t>
            </w:r>
          </w:p>
          <w:p>
            <w:pPr>
              <w:pStyle w:val="47"/>
              <w:keepNext w:val="0"/>
              <w:keepLines w:val="0"/>
              <w:pageBreakBefore w:val="0"/>
              <w:widowControl w:val="0"/>
              <w:kinsoku/>
              <w:wordWrap/>
              <w:overflowPunct/>
              <w:topLinePunct w:val="0"/>
              <w:autoSpaceDE w:val="0"/>
              <w:autoSpaceDN w:val="0"/>
              <w:bidi w:val="0"/>
              <w:adjustRightInd w:val="0"/>
              <w:snapToGrid/>
              <w:spacing w:after="157" w:afterLines="50" w:line="400" w:lineRule="exact"/>
              <w:ind w:firstLine="480"/>
              <w:textAlignment w:val="auto"/>
              <w:rPr>
                <w:rFonts w:ascii="宋体" w:hAnsi="宋体" w:eastAsia="仿宋_GB2312" w:cs="Times New Roman"/>
                <w:color w:val="auto"/>
                <w:kern w:val="0"/>
                <w:sz w:val="24"/>
                <w:highlight w:val="none"/>
              </w:rPr>
            </w:pPr>
            <w:r>
              <w:rPr>
                <w:rFonts w:hint="eastAsia" w:ascii="Times New Roman" w:hAnsi="Times New Roman" w:cs="Times New Roman"/>
                <w:color w:val="auto"/>
                <w:kern w:val="0"/>
                <w:sz w:val="24"/>
                <w:highlight w:val="none"/>
                <w:lang w:val="en-US" w:eastAsia="zh-CN"/>
              </w:rPr>
              <w:t>涉及龙南市各乡镇。</w:t>
            </w:r>
            <w:r>
              <w:rPr>
                <w:rFonts w:hint="default" w:ascii="Times New Roman" w:hAnsi="Times New Roman" w:cs="Times New Roman"/>
                <w:color w:val="auto"/>
                <w:kern w:val="0"/>
                <w:sz w:val="24"/>
                <w:highlight w:val="none"/>
              </w:rPr>
              <w:t>治理杨村崩岗3160座、崩岗侵蚀面积842.4公顷，完成</w:t>
            </w:r>
            <w:r>
              <w:rPr>
                <w:rFonts w:hint="eastAsia" w:ascii="Times New Roman" w:hAnsi="Times New Roman" w:cs="Times New Roman"/>
                <w:color w:val="auto"/>
                <w:kern w:val="0"/>
                <w:sz w:val="24"/>
                <w:highlight w:val="none"/>
                <w:lang w:val="en-US" w:eastAsia="zh-CN"/>
              </w:rPr>
              <w:t>市域内</w:t>
            </w:r>
            <w:r>
              <w:rPr>
                <w:rFonts w:hint="default" w:ascii="Times New Roman" w:hAnsi="Times New Roman" w:cs="Times New Roman"/>
                <w:color w:val="auto"/>
                <w:kern w:val="0"/>
                <w:sz w:val="24"/>
                <w:highlight w:val="none"/>
              </w:rPr>
              <w:t>水土流失治理面积70平方千米，水土保持率提高到</w:t>
            </w:r>
            <w:r>
              <w:rPr>
                <w:rFonts w:hint="eastAsia" w:ascii="Times New Roman" w:hAnsi="Times New Roman" w:cs="Times New Roman"/>
                <w:color w:val="auto"/>
                <w:kern w:val="0"/>
                <w:sz w:val="24"/>
                <w:highlight w:val="none"/>
                <w:lang w:val="en-US" w:eastAsia="zh-CN"/>
              </w:rPr>
              <w:t>84.12%以上</w:t>
            </w:r>
            <w:r>
              <w:rPr>
                <w:rFonts w:hint="default" w:ascii="Times New Roman" w:hAnsi="Times New Roman" w:cs="Times New Roman"/>
                <w:color w:val="auto"/>
                <w:kern w:val="0"/>
                <w:sz w:val="24"/>
                <w:highlight w:val="none"/>
              </w:rPr>
              <w:t>。</w:t>
            </w:r>
          </w:p>
        </w:tc>
      </w:tr>
    </w:tbl>
    <w:p>
      <w:pPr>
        <w:pStyle w:val="6"/>
        <w:keepNext/>
        <w:keepLines/>
        <w:pageBreakBefore w:val="0"/>
        <w:widowControl w:val="0"/>
        <w:kinsoku/>
        <w:wordWrap/>
        <w:overflowPunct w:val="0"/>
        <w:topLinePunct w:val="0"/>
        <w:autoSpaceDE/>
        <w:autoSpaceDN/>
        <w:bidi w:val="0"/>
        <w:adjustRightInd/>
        <w:snapToGrid/>
        <w:spacing w:before="313" w:beforeLines="100"/>
        <w:textAlignment w:val="auto"/>
        <w:rPr>
          <w:color w:val="auto"/>
          <w:highlight w:val="none"/>
        </w:rPr>
      </w:pPr>
      <w:r>
        <w:rPr>
          <w:rFonts w:hint="eastAsia"/>
          <w:color w:val="auto"/>
          <w:highlight w:val="none"/>
        </w:rPr>
        <w:t>三、森林质量提升及生物多样性保护生态廊道建设工程</w:t>
      </w:r>
    </w:p>
    <w:p>
      <w:pPr>
        <w:ind w:firstLine="640"/>
        <w:rPr>
          <w:color w:val="auto"/>
          <w:highlight w:val="none"/>
        </w:rPr>
      </w:pPr>
      <w:r>
        <w:rPr>
          <w:rFonts w:hint="eastAsia"/>
          <w:color w:val="auto"/>
          <w:highlight w:val="none"/>
        </w:rPr>
        <w:t>部署“低质低效林改造项目”、“赣南区域国土绿化试点示范项目”、“南岭-九连山山脉亚热带森林质量提升及生物多样性保护生态廊道建设项目”等3个重点</w:t>
      </w:r>
      <w:r>
        <w:rPr>
          <w:rFonts w:hint="eastAsia"/>
          <w:color w:val="auto"/>
          <w:highlight w:val="none"/>
          <w:lang w:val="en-US" w:eastAsia="zh-CN"/>
        </w:rPr>
        <w:t>项目</w:t>
      </w:r>
      <w:r>
        <w:rPr>
          <w:rFonts w:hint="eastAsia"/>
          <w:color w:val="auto"/>
          <w:highlight w:val="none"/>
        </w:rPr>
        <w:t>，主要分布在全市低质低效林分布区，水土流失严重区，江河源头、重要饮用水源地、河流两岸、水库周边，主要通道两侧、主要城镇村庄周边、重要景区以及南岭九连山山脉一带。</w:t>
      </w:r>
    </w:p>
    <w:p>
      <w:pPr>
        <w:keepNext w:val="0"/>
        <w:keepLines w:val="0"/>
        <w:pageBreakBefore w:val="0"/>
        <w:widowControl w:val="0"/>
        <w:kinsoku/>
        <w:wordWrap/>
        <w:overflowPunct w:val="0"/>
        <w:topLinePunct w:val="0"/>
        <w:autoSpaceDE/>
        <w:autoSpaceDN/>
        <w:bidi w:val="0"/>
        <w:adjustRightInd/>
        <w:snapToGrid/>
        <w:ind w:firstLine="640"/>
        <w:textAlignment w:val="auto"/>
        <w:rPr>
          <w:b/>
          <w:bCs/>
          <w:color w:val="auto"/>
          <w:highlight w:val="none"/>
        </w:rPr>
      </w:pPr>
      <w:r>
        <w:rPr>
          <w:rFonts w:hint="eastAsia"/>
          <w:b/>
          <w:bCs/>
          <w:color w:val="auto"/>
          <w:highlight w:val="none"/>
        </w:rPr>
        <w:t>（一）总体目标</w:t>
      </w:r>
    </w:p>
    <w:p>
      <w:pPr>
        <w:ind w:firstLine="640"/>
        <w:rPr>
          <w:color w:val="auto"/>
          <w:highlight w:val="none"/>
        </w:rPr>
      </w:pPr>
      <w:r>
        <w:rPr>
          <w:rFonts w:hint="eastAsia"/>
          <w:color w:val="auto"/>
          <w:highlight w:val="none"/>
        </w:rPr>
        <w:t>在“十四五”期末，全面完成低质低效林改造任务。以构建国土绿化一体化新格局，引领带动红壤丘陵区退化生态系统恢复为目标，坚持科学规划、因地制宜、精准施策，综合运用“造、改、提”等措施，聚焦提升全市森林生态系统质量、增强森林固碳能力、优化树种结构，着力在南岭-九连山脉亚热带森林地区开展人工林造林、油茶林营造、封山育林和退化林修复（低产低效林改造）等工作，着力建设健康稳定优质高效森林生态系统。</w:t>
      </w:r>
    </w:p>
    <w:p>
      <w:pPr>
        <w:ind w:firstLine="640"/>
        <w:rPr>
          <w:b/>
          <w:bCs/>
          <w:color w:val="auto"/>
          <w:highlight w:val="none"/>
        </w:rPr>
      </w:pPr>
      <w:r>
        <w:rPr>
          <w:rFonts w:hint="eastAsia"/>
          <w:b/>
          <w:bCs/>
          <w:color w:val="auto"/>
          <w:highlight w:val="none"/>
        </w:rPr>
        <w:t>（二）主要任务</w:t>
      </w:r>
    </w:p>
    <w:p>
      <w:pPr>
        <w:ind w:firstLine="640"/>
        <w:rPr>
          <w:color w:val="auto"/>
          <w:highlight w:val="none"/>
        </w:rPr>
      </w:pPr>
      <w:r>
        <w:rPr>
          <w:rFonts w:hint="eastAsia"/>
          <w:color w:val="auto"/>
          <w:highlight w:val="none"/>
        </w:rPr>
        <w:t>一是按照《江西省赣州市低质低效林改造规划》内容，编制项目建设年度实施方案，明确年度改造目标，改造方式，改造重点等。坚持因地制宜、稳步实施低质低效林改造，着力提升全市森林质量。采取人工新造、更替、补植和抚育四种技术措施，补齐因无立木林地、疏林地、废弃矿区、受损山体等地块形成的“网眼”。二是探索南方丘陵山地生态脆弱区生态修复新模式，研究总结人工造林、退化林分修复和油茶生态经营集成管理体系，形成一套可复制、可推广的经营管理模式和运行机制。三是以森林保育保护、退化林修复为重点，强化森林资源保护力度，加强天然林保护，稳定廊道范围内林区封禁范围，减少人为扰动和破坏，加强政策宣传，增强护林意识，强化管护责任落实，提高森林保护成效，加强外来物种管控，有效控制有害生物成灾率；大力开展以南岭-九连山脉为主的廊道森林质量提升、人工造林等工程，有效改善森林质量，优化林种树种结构，提升自然保护地连通性，有效构建野生动植物连通廊道，保护生物多样性和生态系统稳定。</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580" w:lineRule="exact"/>
              <w:ind w:left="0" w:leftChars="0" w:firstLine="0" w:firstLineChars="0"/>
              <w:jc w:val="center"/>
              <w:rPr>
                <w:rFonts w:ascii="宋体" w:hAnsi="宋体" w:eastAsia="仿宋_GB2312" w:cs="Times New Roman"/>
                <w:color w:val="auto"/>
                <w:kern w:val="0"/>
                <w:sz w:val="24"/>
                <w:highlight w:val="none"/>
              </w:rPr>
            </w:pPr>
            <w:r>
              <w:rPr>
                <w:rFonts w:hint="eastAsia" w:ascii="宋体" w:hAnsi="宋体" w:cs="仿宋_GB2312"/>
                <w:b/>
                <w:bCs/>
                <w:color w:val="auto"/>
                <w:kern w:val="0"/>
                <w:sz w:val="24"/>
                <w:highlight w:val="none"/>
              </w:rPr>
              <w:t>专栏5</w:t>
            </w:r>
            <w:r>
              <w:rPr>
                <w:rFonts w:ascii="宋体" w:hAnsi="宋体" w:cs="Times New Roman"/>
                <w:b/>
                <w:bCs/>
                <w:color w:val="auto"/>
                <w:kern w:val="0"/>
                <w:sz w:val="24"/>
                <w:highlight w:val="none"/>
              </w:rPr>
              <w:t>-</w:t>
            </w:r>
            <w:r>
              <w:rPr>
                <w:rFonts w:hint="eastAsia" w:ascii="宋体" w:hAnsi="宋体" w:cs="Times New Roman"/>
                <w:b/>
                <w:bCs/>
                <w:color w:val="auto"/>
                <w:kern w:val="0"/>
                <w:sz w:val="24"/>
                <w:highlight w:val="none"/>
              </w:rPr>
              <w:t>4</w:t>
            </w:r>
            <w:r>
              <w:rPr>
                <w:rFonts w:hint="eastAsia" w:ascii="宋体" w:hAnsi="宋体" w:cs="Times New Roman"/>
                <w:b/>
                <w:bCs/>
                <w:color w:val="auto"/>
                <w:kern w:val="0"/>
                <w:sz w:val="24"/>
                <w:highlight w:val="none"/>
                <w:lang w:val="en-US" w:eastAsia="zh-CN"/>
              </w:rPr>
              <w:t xml:space="preserve">  </w:t>
            </w:r>
            <w:r>
              <w:rPr>
                <w:rFonts w:hint="eastAsia" w:ascii="宋体" w:hAnsi="宋体" w:cs="仿宋_GB2312"/>
                <w:b/>
                <w:bCs/>
                <w:color w:val="auto"/>
                <w:kern w:val="0"/>
                <w:sz w:val="24"/>
                <w:highlight w:val="none"/>
              </w:rPr>
              <w:t>森林质量提升及生物多样性保护生态廊道建设工程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500" w:lineRule="exact"/>
              <w:ind w:firstLine="482"/>
              <w:rPr>
                <w:rFonts w:ascii="宋体" w:hAnsi="宋体" w:cs="Times New Roman"/>
                <w:b/>
                <w:bCs/>
                <w:color w:val="auto"/>
                <w:kern w:val="0"/>
                <w:sz w:val="24"/>
                <w:highlight w:val="none"/>
              </w:rPr>
            </w:pPr>
            <w:r>
              <w:rPr>
                <w:rFonts w:ascii="宋体" w:hAnsi="宋体" w:cs="Times New Roman"/>
                <w:b/>
                <w:bCs/>
                <w:color w:val="auto"/>
                <w:kern w:val="0"/>
                <w:sz w:val="24"/>
                <w:highlight w:val="none"/>
              </w:rPr>
              <w:t>1</w:t>
            </w:r>
            <w:r>
              <w:rPr>
                <w:rFonts w:hint="eastAsia" w:ascii="宋体" w:hAnsi="宋体" w:cs="Times New Roman"/>
                <w:b/>
                <w:bCs/>
                <w:color w:val="auto"/>
                <w:kern w:val="0"/>
                <w:sz w:val="24"/>
                <w:highlight w:val="none"/>
              </w:rPr>
              <w:t>、</w:t>
            </w:r>
            <w:r>
              <w:rPr>
                <w:rFonts w:hint="eastAsia" w:ascii="宋体" w:hAnsi="宋体" w:cs="仿宋_GB2312"/>
                <w:b/>
                <w:bCs/>
                <w:color w:val="auto"/>
                <w:kern w:val="0"/>
                <w:sz w:val="24"/>
                <w:highlight w:val="none"/>
              </w:rPr>
              <w:t>低质低效林改造项目</w:t>
            </w:r>
          </w:p>
          <w:p>
            <w:pPr>
              <w:keepNext w:val="0"/>
              <w:keepLines w:val="0"/>
              <w:pageBreakBefore w:val="0"/>
              <w:widowControl w:val="0"/>
              <w:kinsoku/>
              <w:wordWrap/>
              <w:overflowPunct w:val="0"/>
              <w:topLinePunct w:val="0"/>
              <w:autoSpaceDE w:val="0"/>
              <w:autoSpaceDN w:val="0"/>
              <w:bidi w:val="0"/>
              <w:adjustRightInd w:val="0"/>
              <w:snapToGrid/>
              <w:spacing w:after="157" w:afterLines="50" w:line="400" w:lineRule="exact"/>
              <w:ind w:firstLine="480"/>
              <w:textAlignment w:val="auto"/>
              <w:rPr>
                <w:rFonts w:ascii="宋体" w:hAnsi="宋体" w:eastAsia="仿宋_GB2312" w:cs="Times New Roman"/>
                <w:color w:val="auto"/>
                <w:kern w:val="0"/>
                <w:sz w:val="24"/>
                <w:highlight w:val="none"/>
              </w:rPr>
            </w:pPr>
            <w:r>
              <w:rPr>
                <w:rFonts w:hint="eastAsia" w:ascii="Times New Roman" w:hAnsi="Times New Roman" w:cs="Times New Roman"/>
                <w:color w:val="auto"/>
                <w:kern w:val="0"/>
                <w:sz w:val="24"/>
                <w:highlight w:val="none"/>
                <w:lang w:val="en-US" w:eastAsia="zh-CN"/>
              </w:rPr>
              <w:t>涉及龙南市各乡镇。</w:t>
            </w:r>
            <w:r>
              <w:rPr>
                <w:rFonts w:hint="default" w:ascii="Times New Roman" w:hAnsi="Times New Roman" w:cs="Times New Roman"/>
                <w:color w:val="auto"/>
                <w:kern w:val="0"/>
                <w:sz w:val="24"/>
                <w:highlight w:val="none"/>
              </w:rPr>
              <w:t>改造低质低效林14万亩，其中：更替改造1.0万亩；补植改造1.5万亩；抚育改造5.45万亩；封育改造6.05万亩。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500" w:lineRule="exact"/>
              <w:ind w:firstLine="482"/>
              <w:rPr>
                <w:rFonts w:ascii="宋体" w:hAnsi="宋体" w:cs="Times New Roman"/>
                <w:b/>
                <w:bCs/>
                <w:color w:val="auto"/>
                <w:kern w:val="0"/>
                <w:sz w:val="24"/>
                <w:highlight w:val="none"/>
              </w:rPr>
            </w:pPr>
            <w:r>
              <w:rPr>
                <w:rFonts w:ascii="宋体" w:hAnsi="宋体" w:cs="Times New Roman"/>
                <w:b/>
                <w:bCs/>
                <w:color w:val="auto"/>
                <w:kern w:val="0"/>
                <w:sz w:val="24"/>
                <w:highlight w:val="none"/>
              </w:rPr>
              <w:t>2</w:t>
            </w:r>
            <w:r>
              <w:rPr>
                <w:rFonts w:hint="eastAsia" w:ascii="宋体" w:hAnsi="宋体" w:cs="Times New Roman"/>
                <w:b/>
                <w:bCs/>
                <w:color w:val="auto"/>
                <w:kern w:val="0"/>
                <w:sz w:val="24"/>
                <w:highlight w:val="none"/>
              </w:rPr>
              <w:t>、</w:t>
            </w:r>
            <w:r>
              <w:rPr>
                <w:rFonts w:hint="eastAsia" w:ascii="宋体" w:hAnsi="宋体" w:cs="仿宋_GB2312"/>
                <w:b/>
                <w:bCs/>
                <w:color w:val="auto"/>
                <w:kern w:val="0"/>
                <w:sz w:val="24"/>
                <w:highlight w:val="none"/>
              </w:rPr>
              <w:t>赣南区域国土绿化试点示范项目</w:t>
            </w:r>
          </w:p>
          <w:p>
            <w:pPr>
              <w:keepNext w:val="0"/>
              <w:keepLines w:val="0"/>
              <w:pageBreakBefore w:val="0"/>
              <w:widowControl w:val="0"/>
              <w:kinsoku/>
              <w:wordWrap/>
              <w:overflowPunct w:val="0"/>
              <w:topLinePunct w:val="0"/>
              <w:autoSpaceDE w:val="0"/>
              <w:autoSpaceDN w:val="0"/>
              <w:bidi w:val="0"/>
              <w:adjustRightInd w:val="0"/>
              <w:snapToGrid/>
              <w:spacing w:after="157" w:afterLines="50" w:line="400" w:lineRule="exact"/>
              <w:ind w:firstLine="480"/>
              <w:textAlignment w:val="auto"/>
              <w:rPr>
                <w:rFonts w:ascii="宋体" w:hAnsi="宋体" w:eastAsia="仿宋_GB2312" w:cs="Times New Roman"/>
                <w:color w:val="auto"/>
                <w:kern w:val="0"/>
                <w:sz w:val="24"/>
                <w:highlight w:val="none"/>
              </w:rPr>
            </w:pPr>
            <w:r>
              <w:rPr>
                <w:rFonts w:hint="eastAsia" w:ascii="宋体" w:hAnsi="宋体" w:cs="仿宋_GB2312"/>
                <w:color w:val="auto"/>
                <w:kern w:val="0"/>
                <w:sz w:val="24"/>
                <w:highlight w:val="none"/>
                <w:lang w:val="en-US" w:eastAsia="zh-CN"/>
              </w:rPr>
              <w:t>主要涉及龙南市临塘乡、里仁镇、安基山林场。</w:t>
            </w:r>
            <w:r>
              <w:rPr>
                <w:rFonts w:hint="eastAsia" w:ascii="宋体" w:hAnsi="宋体" w:cs="仿宋_GB2312"/>
                <w:color w:val="auto"/>
                <w:kern w:val="0"/>
                <w:sz w:val="24"/>
                <w:highlight w:val="none"/>
              </w:rPr>
              <w:t>“十四五”规划期间完成营造林建设任</w:t>
            </w:r>
            <w:r>
              <w:rPr>
                <w:rFonts w:hint="default" w:ascii="Times New Roman" w:hAnsi="Times New Roman" w:cs="Times New Roman"/>
                <w:color w:val="auto"/>
                <w:kern w:val="0"/>
                <w:sz w:val="24"/>
                <w:highlight w:val="none"/>
              </w:rPr>
              <w:t>务0.75万</w:t>
            </w:r>
            <w:r>
              <w:rPr>
                <w:rFonts w:hint="eastAsia" w:ascii="宋体" w:hAnsi="宋体" w:cs="仿宋_GB2312"/>
                <w:color w:val="auto"/>
                <w:kern w:val="0"/>
                <w:sz w:val="24"/>
                <w:highlight w:val="none"/>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500" w:lineRule="exact"/>
              <w:ind w:firstLine="482"/>
              <w:rPr>
                <w:rFonts w:ascii="宋体" w:hAnsi="宋体" w:cs="Times New Roman"/>
                <w:b/>
                <w:bCs/>
                <w:color w:val="auto"/>
                <w:kern w:val="0"/>
                <w:sz w:val="24"/>
                <w:highlight w:val="none"/>
              </w:rPr>
            </w:pPr>
            <w:bookmarkStart w:id="58" w:name="_Toc17316"/>
            <w:bookmarkStart w:id="59" w:name="_Toc72134995"/>
            <w:r>
              <w:rPr>
                <w:rFonts w:ascii="宋体" w:hAnsi="宋体" w:cs="Times New Roman"/>
                <w:b/>
                <w:bCs/>
                <w:color w:val="auto"/>
                <w:kern w:val="0"/>
                <w:sz w:val="24"/>
                <w:highlight w:val="none"/>
              </w:rPr>
              <w:t>3</w:t>
            </w:r>
            <w:r>
              <w:rPr>
                <w:rFonts w:hint="eastAsia" w:ascii="宋体" w:hAnsi="宋体" w:cs="Times New Roman"/>
                <w:b/>
                <w:bCs/>
                <w:color w:val="auto"/>
                <w:kern w:val="0"/>
                <w:sz w:val="24"/>
                <w:highlight w:val="none"/>
              </w:rPr>
              <w:t>、</w:t>
            </w:r>
            <w:r>
              <w:rPr>
                <w:rFonts w:hint="eastAsia" w:ascii="宋体" w:hAnsi="宋体" w:cs="仿宋_GB2312"/>
                <w:b/>
                <w:bCs/>
                <w:color w:val="auto"/>
                <w:kern w:val="0"/>
                <w:sz w:val="24"/>
                <w:highlight w:val="none"/>
              </w:rPr>
              <w:t>南岭</w:t>
            </w:r>
            <w:r>
              <w:rPr>
                <w:rFonts w:ascii="宋体" w:hAnsi="宋体" w:cs="Times New Roman"/>
                <w:b/>
                <w:bCs/>
                <w:color w:val="auto"/>
                <w:kern w:val="0"/>
                <w:sz w:val="24"/>
                <w:highlight w:val="none"/>
              </w:rPr>
              <w:t>-</w:t>
            </w:r>
            <w:r>
              <w:rPr>
                <w:rFonts w:hint="eastAsia" w:ascii="宋体" w:hAnsi="宋体" w:cs="仿宋_GB2312"/>
                <w:b/>
                <w:bCs/>
                <w:color w:val="auto"/>
                <w:kern w:val="0"/>
                <w:sz w:val="24"/>
                <w:highlight w:val="none"/>
              </w:rPr>
              <w:t>九连山</w:t>
            </w:r>
            <w:r>
              <w:rPr>
                <w:rFonts w:hint="eastAsia" w:ascii="宋体" w:hAnsi="宋体" w:cs="仿宋_GB2312"/>
                <w:b/>
                <w:bCs/>
                <w:color w:val="auto"/>
                <w:kern w:val="0"/>
                <w:sz w:val="24"/>
                <w:highlight w:val="none"/>
                <w:lang w:val="en-US" w:eastAsia="zh-CN"/>
              </w:rPr>
              <w:t>山</w:t>
            </w:r>
            <w:r>
              <w:rPr>
                <w:rFonts w:hint="eastAsia" w:ascii="宋体" w:hAnsi="宋体" w:cs="仿宋_GB2312"/>
                <w:b/>
                <w:bCs/>
                <w:color w:val="auto"/>
                <w:kern w:val="0"/>
                <w:sz w:val="24"/>
                <w:highlight w:val="none"/>
              </w:rPr>
              <w:t>脉森林质量提升及生物多样性保护生态廊道建设项目</w:t>
            </w:r>
          </w:p>
          <w:p>
            <w:pPr>
              <w:keepNext w:val="0"/>
              <w:keepLines w:val="0"/>
              <w:pageBreakBefore w:val="0"/>
              <w:widowControl w:val="0"/>
              <w:kinsoku/>
              <w:wordWrap/>
              <w:overflowPunct w:val="0"/>
              <w:topLinePunct w:val="0"/>
              <w:autoSpaceDE w:val="0"/>
              <w:autoSpaceDN w:val="0"/>
              <w:bidi w:val="0"/>
              <w:adjustRightInd w:val="0"/>
              <w:snapToGrid/>
              <w:spacing w:after="157" w:afterLines="50" w:line="400" w:lineRule="exact"/>
              <w:ind w:firstLine="480"/>
              <w:textAlignment w:val="auto"/>
              <w:rPr>
                <w:rFonts w:ascii="宋体" w:hAnsi="宋体" w:eastAsia="仿宋_GB2312" w:cs="Times New Roman"/>
                <w:color w:val="auto"/>
                <w:kern w:val="0"/>
                <w:sz w:val="24"/>
                <w:highlight w:val="none"/>
              </w:rPr>
            </w:pPr>
            <w:r>
              <w:rPr>
                <w:rFonts w:hint="eastAsia" w:ascii="宋体" w:hAnsi="宋体" w:cs="仿宋_GB2312"/>
                <w:color w:val="auto"/>
                <w:kern w:val="0"/>
                <w:sz w:val="24"/>
                <w:highlight w:val="none"/>
              </w:rPr>
              <w:t>廊道连通南岭九连山山脉，涉及龙南市南部地区，连通国家</w:t>
            </w:r>
            <w:r>
              <w:rPr>
                <w:rFonts w:hint="default" w:ascii="Times New Roman" w:hAnsi="Times New Roman" w:cs="Times New Roman"/>
                <w:color w:val="auto"/>
                <w:kern w:val="0"/>
                <w:sz w:val="24"/>
                <w:highlight w:val="none"/>
              </w:rPr>
              <w:t>级自然保护区1个、国家级森林公园5个、省级森林公园4个、省级湿地公园1个。规划新增封山育林面积6.05万亩；退化林修复6.95万亩；造林1万亩。</w:t>
            </w:r>
          </w:p>
        </w:tc>
      </w:tr>
      <w:bookmarkEnd w:id="58"/>
      <w:bookmarkEnd w:id="59"/>
    </w:tbl>
    <w:p>
      <w:pPr>
        <w:pStyle w:val="3"/>
        <w:ind w:firstLine="672"/>
        <w:rPr>
          <w:color w:val="auto"/>
          <w:highlight w:val="none"/>
        </w:rPr>
      </w:pPr>
    </w:p>
    <w:p>
      <w:pPr>
        <w:pStyle w:val="3"/>
        <w:ind w:firstLine="672"/>
        <w:rPr>
          <w:color w:val="auto"/>
          <w:highlight w:val="none"/>
        </w:rPr>
        <w:sectPr>
          <w:pgSz w:w="11906" w:h="16838"/>
          <w:pgMar w:top="1100" w:right="1800" w:bottom="1440" w:left="1800" w:header="851" w:footer="992" w:gutter="0"/>
          <w:cols w:space="425" w:num="1"/>
          <w:docGrid w:type="lines" w:linePitch="312" w:charSpace="0"/>
        </w:sectPr>
      </w:pPr>
    </w:p>
    <w:p>
      <w:pPr>
        <w:pStyle w:val="4"/>
        <w:rPr>
          <w:rFonts w:hint="eastAsia" w:eastAsia="仿宋"/>
          <w:color w:val="auto"/>
          <w:highlight w:val="none"/>
          <w:lang w:val="en-US" w:eastAsia="zh-CN"/>
        </w:rPr>
      </w:pPr>
      <w:bookmarkStart w:id="60" w:name="_Toc24810"/>
      <w:bookmarkStart w:id="61" w:name="_Toc11058"/>
      <w:r>
        <w:rPr>
          <w:rFonts w:hint="eastAsia"/>
          <w:color w:val="auto"/>
          <w:highlight w:val="none"/>
        </w:rPr>
        <w:t>第</w:t>
      </w:r>
      <w:r>
        <w:rPr>
          <w:rFonts w:hint="eastAsia"/>
          <w:color w:val="auto"/>
          <w:highlight w:val="none"/>
          <w:lang w:val="en-US" w:eastAsia="zh-CN"/>
        </w:rPr>
        <w:t>七</w:t>
      </w:r>
      <w:r>
        <w:rPr>
          <w:rFonts w:hint="eastAsia"/>
          <w:color w:val="auto"/>
          <w:highlight w:val="none"/>
        </w:rPr>
        <w:t xml:space="preserve">章 </w:t>
      </w:r>
      <w:r>
        <w:rPr>
          <w:rFonts w:hint="eastAsia"/>
          <w:color w:val="auto"/>
          <w:highlight w:val="none"/>
          <w:lang w:val="en-US" w:eastAsia="zh-CN"/>
        </w:rPr>
        <w:t>成本效益</w:t>
      </w:r>
      <w:bookmarkEnd w:id="60"/>
      <w:bookmarkEnd w:id="61"/>
    </w:p>
    <w:p>
      <w:pPr>
        <w:keepNext w:val="0"/>
        <w:keepLines w:val="0"/>
        <w:pageBreakBefore w:val="0"/>
        <w:widowControl w:val="0"/>
        <w:shd w:val="clear"/>
        <w:kinsoku/>
        <w:wordWrap/>
        <w:overflowPunct/>
        <w:topLinePunct w:val="0"/>
        <w:autoSpaceDE/>
        <w:autoSpaceDN/>
        <w:bidi w:val="0"/>
        <w:adjustRightInd w:val="0"/>
        <w:snapToGrid w:val="0"/>
        <w:spacing w:line="240" w:lineRule="atLeast"/>
        <w:ind w:firstLine="640" w:firstLineChars="200"/>
        <w:textAlignment w:val="auto"/>
        <w:outlineLvl w:val="9"/>
        <w:rPr>
          <w:rFonts w:hint="eastAsia"/>
          <w:color w:val="auto"/>
          <w:highlight w:val="none"/>
          <w:lang w:val="en-US" w:eastAsia="zh-CN"/>
        </w:rPr>
      </w:pPr>
      <w:bookmarkStart w:id="62" w:name="_Toc27630"/>
    </w:p>
    <w:p>
      <w:pPr>
        <w:pStyle w:val="5"/>
        <w:rPr>
          <w:rFonts w:hint="eastAsia"/>
          <w:color w:val="auto"/>
          <w:highlight w:val="none"/>
          <w:lang w:val="en-US" w:eastAsia="zh-CN"/>
        </w:rPr>
      </w:pPr>
      <w:bookmarkStart w:id="63" w:name="_Toc8363"/>
      <w:bookmarkStart w:id="64" w:name="_Toc5371"/>
      <w:r>
        <w:rPr>
          <w:rFonts w:hint="eastAsia"/>
          <w:color w:val="auto"/>
          <w:highlight w:val="none"/>
          <w:lang w:val="en-US" w:eastAsia="zh-CN"/>
        </w:rPr>
        <w:t>第一节 资金需求及估算依据</w:t>
      </w:r>
      <w:bookmarkEnd w:id="62"/>
      <w:bookmarkEnd w:id="63"/>
      <w:bookmarkEnd w:id="64"/>
    </w:p>
    <w:p>
      <w:pPr>
        <w:pStyle w:val="6"/>
        <w:keepNext/>
        <w:keepLines/>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一、估算依据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生态修复涉及到山水林田湖草等多种生态要素，需要统筹多个部门的业务服务于生态系统的修复治理。因此，工程的布设也相应涉及到</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林业、水利、农业农村、住建、城管、自然资源等多个行业部门，各部门的重大工程项目投资估算，也相应根据各行业估算编制依据编制而成。本规划根据</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各相关部门“十四五”规划重大工程项目清单，从中提取与生态保护和修复有关的工程项目，经过汇总统计，得出重大工程项目资金需求。本次投资估算主要参考的工程项目清单如下：</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国民经济和社会发展第十四个五年规划和二〇三五年远景目标纲要；</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（2）</w:t>
      </w:r>
      <w:r>
        <w:rPr>
          <w:rFonts w:hint="eastAsia" w:cs="Times New Roman"/>
          <w:color w:val="auto"/>
          <w:kern w:val="10"/>
          <w:sz w:val="32"/>
          <w:szCs w:val="32"/>
          <w:highlight w:val="none"/>
          <w:lang w:val="en-US" w:eastAsia="zh-CN"/>
        </w:rPr>
        <w:t>龙南市“十四五”林业发展规划主要建设项目表</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bookmarkStart w:id="65" w:name="OLE_LINK1"/>
      <w:r>
        <w:rPr>
          <w:rFonts w:hint="eastAsia" w:ascii="Times New Roman" w:hAnsi="Times New Roman" w:eastAsia="仿宋" w:cs="Times New Roman"/>
          <w:color w:val="auto"/>
          <w:kern w:val="10"/>
          <w:sz w:val="32"/>
          <w:szCs w:val="32"/>
          <w:highlight w:val="none"/>
          <w:lang w:val="en-US" w:eastAsia="zh-CN"/>
        </w:rPr>
        <w:t>（3）龙南市水利发展“十四五”规划项目投资表；</w:t>
      </w:r>
    </w:p>
    <w:bookmarkEnd w:id="65"/>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w:t>
      </w:r>
      <w:r>
        <w:rPr>
          <w:rFonts w:hint="eastAsia" w:cs="Times New Roman"/>
          <w:color w:val="auto"/>
          <w:kern w:val="10"/>
          <w:sz w:val="32"/>
          <w:szCs w:val="32"/>
          <w:highlight w:val="none"/>
          <w:lang w:val="en-US" w:eastAsia="zh-CN"/>
        </w:rPr>
        <w:t>4</w:t>
      </w:r>
      <w:r>
        <w:rPr>
          <w:rFonts w:hint="eastAsia" w:ascii="Times New Roman" w:hAnsi="Times New Roman" w:eastAsia="仿宋" w:cs="Times New Roman"/>
          <w:color w:val="auto"/>
          <w:kern w:val="10"/>
          <w:sz w:val="32"/>
          <w:szCs w:val="32"/>
          <w:highlight w:val="none"/>
          <w:lang w:val="en-US" w:eastAsia="zh-CN"/>
        </w:rPr>
        <w:t>）赣州市“十四五”重大项目清单（赣州市发改委）；</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w:t>
      </w:r>
      <w:r>
        <w:rPr>
          <w:rFonts w:hint="eastAsia" w:cs="Times New Roman"/>
          <w:color w:val="auto"/>
          <w:kern w:val="10"/>
          <w:sz w:val="32"/>
          <w:szCs w:val="32"/>
          <w:highlight w:val="none"/>
          <w:lang w:val="en-US" w:eastAsia="zh-CN"/>
        </w:rPr>
        <w:t>5</w:t>
      </w:r>
      <w:r>
        <w:rPr>
          <w:rFonts w:hint="eastAsia" w:ascii="Times New Roman" w:hAnsi="Times New Roman" w:eastAsia="仿宋" w:cs="Times New Roman"/>
          <w:color w:val="auto"/>
          <w:kern w:val="10"/>
          <w:sz w:val="32"/>
          <w:szCs w:val="32"/>
          <w:highlight w:val="none"/>
          <w:lang w:val="en-US" w:eastAsia="zh-CN"/>
        </w:rPr>
        <w:t>）赣州市生态环境保护修复项目清单（赣州市自然资源局）。</w:t>
      </w:r>
    </w:p>
    <w:p>
      <w:pPr>
        <w:pStyle w:val="6"/>
        <w:keepNext/>
        <w:keepLines/>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二、资金需求</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从</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相关行业部门“十四五”规划重大工程项目清单中提取与生态保护和修复有关的工程项目</w:t>
      </w:r>
      <w:r>
        <w:rPr>
          <w:rFonts w:hint="eastAsia" w:cs="Times New Roman"/>
          <w:color w:val="auto"/>
          <w:kern w:val="10"/>
          <w:sz w:val="32"/>
          <w:szCs w:val="32"/>
          <w:highlight w:val="none"/>
          <w:lang w:val="en-US" w:eastAsia="zh-CN"/>
        </w:rPr>
        <w:t>6</w:t>
      </w:r>
      <w:r>
        <w:rPr>
          <w:rFonts w:hint="eastAsia" w:ascii="Times New Roman" w:hAnsi="Times New Roman" w:eastAsia="仿宋" w:cs="Times New Roman"/>
          <w:color w:val="auto"/>
          <w:kern w:val="10"/>
          <w:sz w:val="32"/>
          <w:szCs w:val="32"/>
          <w:highlight w:val="none"/>
          <w:lang w:val="en-US" w:eastAsia="zh-CN"/>
        </w:rPr>
        <w:t>个，</w:t>
      </w:r>
      <w:r>
        <w:rPr>
          <w:rFonts w:hint="eastAsia" w:ascii="Times New Roman" w:hAnsi="Times New Roman" w:eastAsia="仿宋" w:cs="Times New Roman"/>
          <w:b w:val="0"/>
          <w:bCs w:val="0"/>
          <w:color w:val="auto"/>
          <w:kern w:val="10"/>
          <w:sz w:val="32"/>
          <w:szCs w:val="32"/>
          <w:highlight w:val="none"/>
          <w:lang w:val="en-US" w:eastAsia="zh-CN"/>
        </w:rPr>
        <w:t>按</w:t>
      </w:r>
      <w:r>
        <w:rPr>
          <w:rFonts w:hint="eastAsia"/>
          <w:b w:val="0"/>
          <w:bCs w:val="0"/>
          <w:color w:val="auto"/>
          <w:highlight w:val="none"/>
        </w:rPr>
        <w:t>矿山生态环境综合治理与农田生态提质工程、水土保持综合治理工程、亚热带森林质量提升及生物多样性保护生态廊道建设工程</w:t>
      </w:r>
      <w:r>
        <w:rPr>
          <w:rFonts w:hint="eastAsia" w:ascii="Times New Roman" w:hAnsi="Times New Roman" w:eastAsia="仿宋" w:cs="Times New Roman"/>
          <w:b w:val="0"/>
          <w:bCs w:val="0"/>
          <w:color w:val="auto"/>
          <w:kern w:val="10"/>
          <w:sz w:val="32"/>
          <w:szCs w:val="32"/>
          <w:highlight w:val="none"/>
          <w:lang w:val="en-US" w:eastAsia="zh-CN"/>
        </w:rPr>
        <w:t>等</w:t>
      </w:r>
      <w:r>
        <w:rPr>
          <w:rFonts w:hint="eastAsia" w:cs="Times New Roman"/>
          <w:b w:val="0"/>
          <w:bCs w:val="0"/>
          <w:color w:val="auto"/>
          <w:kern w:val="10"/>
          <w:sz w:val="32"/>
          <w:szCs w:val="32"/>
          <w:highlight w:val="none"/>
          <w:lang w:val="en-US" w:eastAsia="zh-CN"/>
        </w:rPr>
        <w:t>3</w:t>
      </w:r>
      <w:r>
        <w:rPr>
          <w:rFonts w:hint="eastAsia" w:ascii="Times New Roman" w:hAnsi="Times New Roman" w:eastAsia="仿宋" w:cs="Times New Roman"/>
          <w:b w:val="0"/>
          <w:bCs w:val="0"/>
          <w:color w:val="auto"/>
          <w:kern w:val="10"/>
          <w:sz w:val="32"/>
          <w:szCs w:val="32"/>
          <w:highlight w:val="none"/>
          <w:lang w:val="en-US" w:eastAsia="zh-CN"/>
        </w:rPr>
        <w:t>项重大工程分别归类、统计，《规划》重</w:t>
      </w:r>
      <w:r>
        <w:rPr>
          <w:rFonts w:hint="eastAsia" w:ascii="Times New Roman" w:hAnsi="Times New Roman" w:eastAsia="仿宋" w:cs="Times New Roman"/>
          <w:color w:val="auto"/>
          <w:kern w:val="10"/>
          <w:sz w:val="32"/>
          <w:szCs w:val="32"/>
          <w:highlight w:val="none"/>
          <w:lang w:val="en-US" w:eastAsia="zh-CN"/>
        </w:rPr>
        <w:t>大工程项目需求资金为</w:t>
      </w:r>
      <w:r>
        <w:rPr>
          <w:rFonts w:hint="eastAsia" w:cs="Times New Roman"/>
          <w:color w:val="auto"/>
          <w:kern w:val="10"/>
          <w:sz w:val="32"/>
          <w:szCs w:val="32"/>
          <w:highlight w:val="none"/>
          <w:lang w:val="en-US" w:eastAsia="zh-CN"/>
        </w:rPr>
        <w:t>20.508</w:t>
      </w:r>
      <w:r>
        <w:rPr>
          <w:rFonts w:hint="eastAsia" w:ascii="Times New Roman" w:hAnsi="Times New Roman" w:eastAsia="仿宋" w:cs="Times New Roman"/>
          <w:color w:val="auto"/>
          <w:kern w:val="10"/>
          <w:sz w:val="32"/>
          <w:szCs w:val="32"/>
          <w:highlight w:val="none"/>
          <w:lang w:val="en-US" w:eastAsia="zh-CN"/>
        </w:rPr>
        <w:t>亿元，详见附表。</w:t>
      </w:r>
    </w:p>
    <w:p>
      <w:pPr>
        <w:pStyle w:val="5"/>
        <w:rPr>
          <w:rFonts w:hint="eastAsia"/>
          <w:color w:val="auto"/>
          <w:highlight w:val="none"/>
          <w:lang w:val="en-US" w:eastAsia="zh-CN"/>
        </w:rPr>
      </w:pPr>
      <w:bookmarkStart w:id="66" w:name="_Toc10775"/>
      <w:bookmarkStart w:id="67" w:name="_Toc26173"/>
      <w:bookmarkStart w:id="68" w:name="_Toc3388"/>
      <w:bookmarkStart w:id="69" w:name="_Toc4839"/>
      <w:r>
        <w:rPr>
          <w:rFonts w:hint="eastAsia"/>
          <w:color w:val="auto"/>
          <w:highlight w:val="none"/>
          <w:lang w:val="en-US" w:eastAsia="zh-CN"/>
        </w:rPr>
        <w:t>第二节 修复实施效益</w:t>
      </w:r>
      <w:bookmarkEnd w:id="66"/>
      <w:bookmarkEnd w:id="67"/>
      <w:bookmarkEnd w:id="68"/>
      <w:bookmarkEnd w:id="69"/>
    </w:p>
    <w:p>
      <w:pPr>
        <w:pStyle w:val="6"/>
        <w:keepNext/>
        <w:keepLines/>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一、生态效益</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地处赣江</w:t>
      </w:r>
      <w:r>
        <w:rPr>
          <w:rFonts w:hint="eastAsia" w:cs="Times New Roman"/>
          <w:color w:val="auto"/>
          <w:kern w:val="10"/>
          <w:sz w:val="32"/>
          <w:szCs w:val="32"/>
          <w:highlight w:val="none"/>
          <w:lang w:val="en-US" w:eastAsia="zh-CN"/>
        </w:rPr>
        <w:t>流域和珠江流域分水岭、赣江</w:t>
      </w:r>
      <w:r>
        <w:rPr>
          <w:rFonts w:hint="eastAsia" w:ascii="Times New Roman" w:hAnsi="Times New Roman" w:eastAsia="仿宋" w:cs="Times New Roman"/>
          <w:color w:val="auto"/>
          <w:kern w:val="10"/>
          <w:sz w:val="32"/>
          <w:szCs w:val="32"/>
          <w:highlight w:val="none"/>
          <w:lang w:val="en-US" w:eastAsia="zh-CN"/>
        </w:rPr>
        <w:t>上游源头区，水资源丰富，是鄱阳湖的重要补给区，是长江流域下游的重要水源区，</w:t>
      </w:r>
      <w:r>
        <w:rPr>
          <w:rFonts w:hint="eastAsia" w:cs="Times New Roman"/>
          <w:color w:val="auto"/>
          <w:kern w:val="10"/>
          <w:sz w:val="32"/>
          <w:szCs w:val="32"/>
          <w:highlight w:val="none"/>
          <w:lang w:val="en-US" w:eastAsia="zh-CN"/>
        </w:rPr>
        <w:t>是国家重要的水源涵养生态功能区</w:t>
      </w:r>
      <w:r>
        <w:rPr>
          <w:rFonts w:hint="eastAsia" w:ascii="Times New Roman" w:hAnsi="Times New Roman" w:eastAsia="仿宋" w:cs="Times New Roman"/>
          <w:color w:val="auto"/>
          <w:kern w:val="10"/>
          <w:sz w:val="32"/>
          <w:szCs w:val="32"/>
          <w:highlight w:val="none"/>
          <w:lang w:val="en-US" w:eastAsia="zh-CN"/>
        </w:rPr>
        <w:t>，生态地位非常重要。</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规划的实施，可以有效提高</w:t>
      </w:r>
      <w:r>
        <w:rPr>
          <w:rFonts w:hint="eastAsia" w:cs="Times New Roman"/>
          <w:color w:val="auto"/>
          <w:kern w:val="10"/>
          <w:sz w:val="32"/>
          <w:szCs w:val="32"/>
          <w:highlight w:val="none"/>
          <w:lang w:val="en-US" w:eastAsia="zh-CN"/>
        </w:rPr>
        <w:t>龙南市南岭-九连山</w:t>
      </w:r>
      <w:r>
        <w:rPr>
          <w:rFonts w:hint="eastAsia" w:ascii="Times New Roman" w:hAnsi="Times New Roman" w:eastAsia="仿宋" w:cs="Times New Roman"/>
          <w:color w:val="auto"/>
          <w:kern w:val="10"/>
          <w:sz w:val="32"/>
          <w:szCs w:val="32"/>
          <w:highlight w:val="none"/>
          <w:lang w:val="en-US" w:eastAsia="zh-CN"/>
        </w:rPr>
        <w:t>山地森林生态系统质量，减少水土流失，显著提升涵养水源、保持水土的功能；丰富生物多样性，为野生动植物栖息和繁衍提供良好的保护体系和生存环境，使珍稀和濒危物种得到有效保护；减少人为活动对水资源的破坏，提高水资源保障能力和水灾应对能力，确保流域内水资源安全，同时也减少崩滑流塌等地质灾害的发生；改善土壤质量，恢复土地利用功能，土地资源得到合理利用，环境风险得到有效控制。规划的实施，有效改善</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生态环境，稳固</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“一屏</w:t>
      </w:r>
      <w:r>
        <w:rPr>
          <w:rFonts w:hint="eastAsia" w:cs="Times New Roman"/>
          <w:color w:val="auto"/>
          <w:kern w:val="10"/>
          <w:sz w:val="32"/>
          <w:szCs w:val="32"/>
          <w:highlight w:val="none"/>
          <w:lang w:val="en-US" w:eastAsia="zh-CN"/>
        </w:rPr>
        <w:t>一</w:t>
      </w:r>
      <w:r>
        <w:rPr>
          <w:rFonts w:hint="eastAsia" w:ascii="Times New Roman" w:hAnsi="Times New Roman" w:eastAsia="仿宋" w:cs="Times New Roman"/>
          <w:color w:val="auto"/>
          <w:kern w:val="10"/>
          <w:sz w:val="32"/>
          <w:szCs w:val="32"/>
          <w:highlight w:val="none"/>
          <w:lang w:val="en-US" w:eastAsia="zh-CN"/>
        </w:rPr>
        <w:t>区</w:t>
      </w:r>
      <w:r>
        <w:rPr>
          <w:rFonts w:hint="eastAsia" w:cs="Times New Roman"/>
          <w:color w:val="auto"/>
          <w:kern w:val="10"/>
          <w:sz w:val="32"/>
          <w:szCs w:val="32"/>
          <w:highlight w:val="none"/>
          <w:lang w:val="en-US" w:eastAsia="zh-CN"/>
        </w:rPr>
        <w:t>两脉五河</w:t>
      </w:r>
      <w:r>
        <w:rPr>
          <w:rFonts w:hint="eastAsia" w:ascii="Times New Roman" w:hAnsi="Times New Roman" w:eastAsia="仿宋" w:cs="Times New Roman"/>
          <w:color w:val="auto"/>
          <w:kern w:val="10"/>
          <w:sz w:val="32"/>
          <w:szCs w:val="32"/>
          <w:highlight w:val="none"/>
          <w:lang w:val="en-US" w:eastAsia="zh-CN"/>
        </w:rPr>
        <w:t>”生态安全格局，助力赣州市构建“四屏三区三源多廊”生态安全战略格局，筑牢南方丘陵山地带生态屏障。</w:t>
      </w:r>
    </w:p>
    <w:p>
      <w:pPr>
        <w:pStyle w:val="6"/>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二、经济效益</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b/>
          <w:bCs/>
          <w:color w:val="auto"/>
          <w:kern w:val="10"/>
          <w:sz w:val="32"/>
          <w:szCs w:val="32"/>
          <w:highlight w:val="none"/>
          <w:lang w:val="en-US" w:eastAsia="zh-CN"/>
        </w:rPr>
      </w:pPr>
      <w:r>
        <w:rPr>
          <w:rFonts w:hint="eastAsia" w:cs="Times New Roman"/>
          <w:b/>
          <w:bCs/>
          <w:color w:val="auto"/>
          <w:kern w:val="10"/>
          <w:sz w:val="32"/>
          <w:szCs w:val="32"/>
          <w:highlight w:val="none"/>
          <w:lang w:val="en-US" w:eastAsia="zh-CN"/>
        </w:rPr>
        <w:t>（一）</w:t>
      </w:r>
      <w:r>
        <w:rPr>
          <w:rFonts w:hint="eastAsia" w:ascii="Times New Roman" w:hAnsi="Times New Roman" w:eastAsia="仿宋" w:cs="Times New Roman"/>
          <w:b/>
          <w:bCs/>
          <w:color w:val="auto"/>
          <w:kern w:val="10"/>
          <w:sz w:val="32"/>
          <w:szCs w:val="32"/>
          <w:highlight w:val="none"/>
          <w:lang w:val="en-US" w:eastAsia="zh-CN"/>
        </w:rPr>
        <w:t>直接经济效益</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通过规划的实施，区域生态环境质量明显改善，同时并起到推动</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经济发展、拉动地方GDP增长的作用，产生直接经济效益。主要表现为：</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bookmarkStart w:id="70" w:name="_Toc11003"/>
      <w:bookmarkStart w:id="71" w:name="_Toc26394"/>
      <w:bookmarkStart w:id="72" w:name="_Toc3683"/>
      <w:bookmarkStart w:id="73" w:name="_Toc2039"/>
      <w:bookmarkStart w:id="74" w:name="_Toc15709"/>
      <w:r>
        <w:rPr>
          <w:rFonts w:hint="eastAsia" w:ascii="Times New Roman" w:hAnsi="Times New Roman" w:eastAsia="仿宋" w:cs="Times New Roman"/>
          <w:color w:val="auto"/>
          <w:kern w:val="10"/>
          <w:sz w:val="32"/>
          <w:szCs w:val="32"/>
          <w:highlight w:val="none"/>
          <w:lang w:val="en-US" w:eastAsia="zh-CN"/>
        </w:rPr>
        <w:t>（1）盘活存量建设用地收益</w:t>
      </w:r>
      <w:bookmarkEnd w:id="70"/>
      <w:bookmarkEnd w:id="71"/>
      <w:bookmarkEnd w:id="72"/>
      <w:bookmarkEnd w:id="73"/>
      <w:bookmarkEnd w:id="74"/>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实施历史遗留矿山生态修复后，预期新增水田规模约</w:t>
      </w:r>
      <w:r>
        <w:rPr>
          <w:rFonts w:hint="eastAsia" w:cs="Times New Roman"/>
          <w:color w:val="auto"/>
          <w:kern w:val="10"/>
          <w:sz w:val="32"/>
          <w:szCs w:val="32"/>
          <w:highlight w:val="none"/>
          <w:lang w:val="en-US" w:eastAsia="zh-CN"/>
        </w:rPr>
        <w:t>39</w:t>
      </w:r>
      <w:r>
        <w:rPr>
          <w:rFonts w:hint="eastAsia" w:ascii="Times New Roman" w:hAnsi="Times New Roman" w:eastAsia="仿宋" w:cs="Times New Roman"/>
          <w:color w:val="auto"/>
          <w:kern w:val="10"/>
          <w:sz w:val="32"/>
          <w:szCs w:val="32"/>
          <w:highlight w:val="none"/>
          <w:lang w:val="en-US" w:eastAsia="zh-CN"/>
        </w:rPr>
        <w:t>亩，旱地建设规模约</w:t>
      </w:r>
      <w:r>
        <w:rPr>
          <w:rFonts w:hint="eastAsia" w:cs="Times New Roman"/>
          <w:color w:val="auto"/>
          <w:kern w:val="10"/>
          <w:sz w:val="32"/>
          <w:szCs w:val="32"/>
          <w:highlight w:val="none"/>
          <w:lang w:val="en-US" w:eastAsia="zh-CN"/>
        </w:rPr>
        <w:t>396</w:t>
      </w:r>
      <w:r>
        <w:rPr>
          <w:rFonts w:hint="eastAsia" w:ascii="Times New Roman" w:hAnsi="Times New Roman" w:eastAsia="仿宋" w:cs="Times New Roman"/>
          <w:color w:val="auto"/>
          <w:kern w:val="10"/>
          <w:sz w:val="32"/>
          <w:szCs w:val="32"/>
          <w:highlight w:val="none"/>
          <w:lang w:val="en-US" w:eastAsia="zh-CN"/>
        </w:rPr>
        <w:t>亩，新增林草地约</w:t>
      </w:r>
      <w:r>
        <w:rPr>
          <w:rFonts w:hint="eastAsia" w:cs="Times New Roman"/>
          <w:color w:val="auto"/>
          <w:kern w:val="10"/>
          <w:sz w:val="32"/>
          <w:szCs w:val="32"/>
          <w:highlight w:val="none"/>
          <w:lang w:val="en-US" w:eastAsia="zh-CN"/>
        </w:rPr>
        <w:t>561.6</w:t>
      </w:r>
      <w:r>
        <w:rPr>
          <w:rFonts w:hint="eastAsia" w:ascii="Times New Roman" w:hAnsi="Times New Roman" w:eastAsia="仿宋" w:cs="Times New Roman"/>
          <w:color w:val="auto"/>
          <w:kern w:val="10"/>
          <w:sz w:val="32"/>
          <w:szCs w:val="32"/>
          <w:highlight w:val="none"/>
          <w:lang w:val="en-US" w:eastAsia="zh-CN"/>
        </w:rPr>
        <w:t>亩。参照《江西省人民政府办公厅关于印发江西省城乡建设用地增减挂钩节余指标调剂实施细则和江西省跨设区市补充耕地省级统筹调剂管理办法的通知》（赣府厅发〔2019〕13号）文件规定</w:t>
      </w:r>
      <w:r>
        <w:rPr>
          <w:rFonts w:hint="eastAsia" w:cs="Times New Roman"/>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按复垦为水田每亩25 万元</w:t>
      </w:r>
      <w:r>
        <w:rPr>
          <w:rFonts w:hint="eastAsia" w:cs="Times New Roman"/>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旱地每亩15万元、其他农用地每亩10 万元</w:t>
      </w:r>
      <w:r>
        <w:rPr>
          <w:rFonts w:hint="eastAsia" w:cs="Times New Roman"/>
          <w:color w:val="auto"/>
          <w:kern w:val="10"/>
          <w:sz w:val="32"/>
          <w:szCs w:val="32"/>
          <w:highlight w:val="none"/>
          <w:lang w:val="en-US" w:eastAsia="zh-CN"/>
        </w:rPr>
        <w:t>的</w:t>
      </w:r>
      <w:r>
        <w:rPr>
          <w:rFonts w:hint="eastAsia" w:ascii="Times New Roman" w:hAnsi="Times New Roman" w:eastAsia="仿宋" w:cs="Times New Roman"/>
          <w:color w:val="auto"/>
          <w:kern w:val="10"/>
          <w:sz w:val="32"/>
          <w:szCs w:val="32"/>
          <w:highlight w:val="none"/>
          <w:lang w:val="en-US" w:eastAsia="zh-CN"/>
        </w:rPr>
        <w:t>省域内调出价格估算，预期产生土地收益约</w:t>
      </w:r>
      <w:r>
        <w:rPr>
          <w:rFonts w:hint="eastAsia" w:cs="Times New Roman"/>
          <w:color w:val="auto"/>
          <w:kern w:val="10"/>
          <w:sz w:val="32"/>
          <w:szCs w:val="32"/>
          <w:highlight w:val="none"/>
          <w:lang w:val="en-US" w:eastAsia="zh-CN"/>
        </w:rPr>
        <w:t>12531</w:t>
      </w:r>
      <w:r>
        <w:rPr>
          <w:rFonts w:hint="eastAsia" w:ascii="Times New Roman" w:hAnsi="Times New Roman" w:eastAsia="仿宋" w:cs="Times New Roman"/>
          <w:color w:val="auto"/>
          <w:kern w:val="10"/>
          <w:sz w:val="32"/>
          <w:szCs w:val="32"/>
          <w:highlight w:val="none"/>
          <w:lang w:val="en-US" w:eastAsia="zh-CN"/>
        </w:rPr>
        <w:t>万元。</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（2）森林碳汇收益</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cs="Times New Roman"/>
          <w:color w:val="auto"/>
          <w:kern w:val="10"/>
          <w:sz w:val="32"/>
          <w:szCs w:val="32"/>
          <w:highlight w:val="none"/>
          <w:lang w:val="en-US" w:eastAsia="zh-CN"/>
        </w:rPr>
        <w:t>规划实施后</w:t>
      </w:r>
      <w:r>
        <w:rPr>
          <w:rFonts w:hint="eastAsia" w:ascii="Times New Roman" w:hAnsi="Times New Roman" w:eastAsia="仿宋" w:cs="Times New Roman"/>
          <w:color w:val="auto"/>
          <w:kern w:val="10"/>
          <w:sz w:val="32"/>
          <w:szCs w:val="32"/>
          <w:highlight w:val="none"/>
          <w:lang w:val="en-US" w:eastAsia="zh-CN"/>
        </w:rPr>
        <w:t>，到2025年，</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活立木总蓄积量达到</w:t>
      </w:r>
      <w:r>
        <w:rPr>
          <w:rFonts w:hint="eastAsia" w:cs="Times New Roman"/>
          <w:color w:val="auto"/>
          <w:kern w:val="10"/>
          <w:sz w:val="32"/>
          <w:szCs w:val="32"/>
          <w:highlight w:val="none"/>
          <w:lang w:val="en-US" w:eastAsia="zh-CN"/>
        </w:rPr>
        <w:t>1208</w:t>
      </w:r>
      <w:r>
        <w:rPr>
          <w:rFonts w:hint="eastAsia" w:ascii="Times New Roman" w:hAnsi="Times New Roman" w:eastAsia="仿宋" w:cs="Times New Roman"/>
          <w:color w:val="auto"/>
          <w:kern w:val="10"/>
          <w:sz w:val="32"/>
          <w:szCs w:val="32"/>
          <w:highlight w:val="none"/>
          <w:lang w:val="en-US" w:eastAsia="zh-CN"/>
        </w:rPr>
        <w:t>万立方米，相对于规划基准年新增蓄积量</w:t>
      </w:r>
      <w:r>
        <w:rPr>
          <w:rFonts w:hint="eastAsia" w:cs="Times New Roman"/>
          <w:color w:val="auto"/>
          <w:kern w:val="10"/>
          <w:sz w:val="32"/>
          <w:szCs w:val="32"/>
          <w:highlight w:val="none"/>
          <w:lang w:val="en-US" w:eastAsia="zh-CN"/>
        </w:rPr>
        <w:t>143</w:t>
      </w:r>
      <w:r>
        <w:rPr>
          <w:rFonts w:hint="eastAsia" w:ascii="Times New Roman" w:hAnsi="Times New Roman" w:eastAsia="仿宋" w:cs="Times New Roman"/>
          <w:color w:val="auto"/>
          <w:kern w:val="10"/>
          <w:sz w:val="32"/>
          <w:szCs w:val="32"/>
          <w:highlight w:val="none"/>
          <w:lang w:val="en-US" w:eastAsia="zh-CN"/>
        </w:rPr>
        <w:t>万立方米，根据《江西省森林经营碳汇项目方法学（试行）》（2021年）和《造林项目碳汇计量监测指南》（LY∕T2253-2014）测算，规划期内新增森林碳储量</w:t>
      </w:r>
      <w:r>
        <w:rPr>
          <w:rFonts w:hint="eastAsia" w:cs="Times New Roman"/>
          <w:color w:val="auto"/>
          <w:kern w:val="10"/>
          <w:sz w:val="32"/>
          <w:szCs w:val="32"/>
          <w:highlight w:val="none"/>
          <w:lang w:val="en-US" w:eastAsia="zh-CN"/>
        </w:rPr>
        <w:t>235.7</w:t>
      </w:r>
      <w:r>
        <w:rPr>
          <w:rFonts w:hint="eastAsia" w:ascii="Times New Roman" w:hAnsi="Times New Roman" w:eastAsia="仿宋" w:cs="Times New Roman"/>
          <w:color w:val="auto"/>
          <w:kern w:val="10"/>
          <w:sz w:val="32"/>
          <w:szCs w:val="32"/>
          <w:highlight w:val="none"/>
          <w:lang w:val="en-US" w:eastAsia="zh-CN"/>
        </w:rPr>
        <w:t>万吨二氧化碳当量，按市场价每吨50元保守估算，预期可产生森林碳汇收益</w:t>
      </w:r>
      <w:r>
        <w:rPr>
          <w:rFonts w:hint="eastAsia" w:cs="Times New Roman"/>
          <w:color w:val="auto"/>
          <w:kern w:val="10"/>
          <w:sz w:val="32"/>
          <w:szCs w:val="32"/>
          <w:highlight w:val="none"/>
          <w:lang w:val="en-US" w:eastAsia="zh-CN"/>
        </w:rPr>
        <w:t>11785</w:t>
      </w:r>
      <w:r>
        <w:rPr>
          <w:rFonts w:hint="eastAsia" w:ascii="Times New Roman" w:hAnsi="Times New Roman" w:eastAsia="仿宋" w:cs="Times New Roman"/>
          <w:color w:val="auto"/>
          <w:kern w:val="10"/>
          <w:sz w:val="32"/>
          <w:szCs w:val="32"/>
          <w:highlight w:val="none"/>
          <w:lang w:val="en-US" w:eastAsia="zh-CN"/>
        </w:rPr>
        <w:t>万元。</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cs="Times New Roman"/>
          <w:b/>
          <w:bCs/>
          <w:color w:val="auto"/>
          <w:kern w:val="10"/>
          <w:sz w:val="32"/>
          <w:szCs w:val="32"/>
          <w:highlight w:val="none"/>
          <w:lang w:val="en-US" w:eastAsia="zh-CN"/>
        </w:rPr>
      </w:pPr>
      <w:r>
        <w:rPr>
          <w:rFonts w:hint="eastAsia" w:cs="Times New Roman"/>
          <w:b/>
          <w:bCs/>
          <w:color w:val="auto"/>
          <w:kern w:val="10"/>
          <w:sz w:val="32"/>
          <w:szCs w:val="32"/>
          <w:highlight w:val="none"/>
          <w:lang w:val="en-US" w:eastAsia="zh-CN"/>
        </w:rPr>
        <w:t>（二）间接经济效益</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cs="Times New Roman"/>
          <w:color w:val="auto"/>
          <w:kern w:val="10"/>
          <w:sz w:val="32"/>
          <w:szCs w:val="32"/>
          <w:highlight w:val="none"/>
          <w:lang w:val="en-US" w:eastAsia="zh-CN"/>
        </w:rPr>
        <w:t>《规划》实施后</w:t>
      </w:r>
      <w:r>
        <w:rPr>
          <w:rFonts w:hint="eastAsia" w:ascii="Times New Roman" w:hAnsi="Times New Roman" w:eastAsia="仿宋" w:cs="Times New Roman"/>
          <w:color w:val="auto"/>
          <w:kern w:val="10"/>
          <w:sz w:val="32"/>
          <w:szCs w:val="32"/>
          <w:highlight w:val="none"/>
          <w:lang w:val="en-US" w:eastAsia="zh-CN"/>
        </w:rPr>
        <w:t>，</w:t>
      </w:r>
      <w:r>
        <w:rPr>
          <w:rFonts w:hint="eastAsia" w:cs="Times New Roman"/>
          <w:color w:val="auto"/>
          <w:kern w:val="10"/>
          <w:sz w:val="32"/>
          <w:szCs w:val="32"/>
          <w:highlight w:val="none"/>
          <w:lang w:val="en-US" w:eastAsia="zh-CN"/>
        </w:rPr>
        <w:t>将</w:t>
      </w:r>
      <w:r>
        <w:rPr>
          <w:rFonts w:hint="eastAsia" w:ascii="Times New Roman" w:hAnsi="Times New Roman" w:eastAsia="仿宋" w:cs="Times New Roman"/>
          <w:color w:val="auto"/>
          <w:kern w:val="10"/>
          <w:sz w:val="32"/>
          <w:szCs w:val="32"/>
          <w:highlight w:val="none"/>
          <w:lang w:val="en-US" w:eastAsia="zh-CN"/>
        </w:rPr>
        <w:t>新增高标准农田</w:t>
      </w:r>
      <w:r>
        <w:rPr>
          <w:rFonts w:hint="eastAsia" w:cs="Times New Roman"/>
          <w:color w:val="auto"/>
          <w:kern w:val="10"/>
          <w:sz w:val="32"/>
          <w:szCs w:val="32"/>
          <w:highlight w:val="none"/>
          <w:lang w:val="en-US" w:eastAsia="zh-CN"/>
        </w:rPr>
        <w:t>2.</w:t>
      </w:r>
      <w:r>
        <w:rPr>
          <w:rFonts w:hint="eastAsia" w:ascii="Times New Roman" w:hAnsi="Times New Roman" w:eastAsia="仿宋" w:cs="Times New Roman"/>
          <w:color w:val="auto"/>
          <w:kern w:val="10"/>
          <w:sz w:val="32"/>
          <w:szCs w:val="32"/>
          <w:highlight w:val="none"/>
          <w:lang w:val="en-US" w:eastAsia="zh-CN"/>
        </w:rPr>
        <w:t>5万亩，农田灌溉水有效利用系数提高到0.53以上，用水水平和效率进一步提高，土地资源利用率、土地产出率得到大幅度提高，有效促进农村经济绿色发展。参照《江西省县（市、区）分区域征地统一年产值标准表》，</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统一年产值标准共分</w:t>
      </w:r>
      <w:r>
        <w:rPr>
          <w:rFonts w:hint="eastAsia" w:cs="Times New Roman"/>
          <w:color w:val="auto"/>
          <w:kern w:val="10"/>
          <w:sz w:val="32"/>
          <w:szCs w:val="32"/>
          <w:highlight w:val="none"/>
          <w:lang w:val="en-US" w:eastAsia="zh-CN"/>
        </w:rPr>
        <w:t>4</w:t>
      </w:r>
      <w:r>
        <w:rPr>
          <w:rFonts w:hint="eastAsia" w:ascii="Times New Roman" w:hAnsi="Times New Roman" w:eastAsia="仿宋" w:cs="Times New Roman"/>
          <w:color w:val="auto"/>
          <w:kern w:val="10"/>
          <w:sz w:val="32"/>
          <w:szCs w:val="32"/>
          <w:highlight w:val="none"/>
          <w:lang w:val="en-US" w:eastAsia="zh-CN"/>
        </w:rPr>
        <w:t>个档次，由低往高依次为：最低档每亩</w:t>
      </w:r>
      <w:r>
        <w:rPr>
          <w:rFonts w:hint="eastAsia" w:cs="Times New Roman"/>
          <w:color w:val="auto"/>
          <w:kern w:val="10"/>
          <w:sz w:val="32"/>
          <w:szCs w:val="32"/>
          <w:highlight w:val="none"/>
          <w:lang w:val="en-US" w:eastAsia="zh-CN"/>
        </w:rPr>
        <w:t>2021</w:t>
      </w:r>
      <w:r>
        <w:rPr>
          <w:rFonts w:hint="eastAsia" w:ascii="Times New Roman" w:hAnsi="Times New Roman" w:eastAsia="仿宋" w:cs="Times New Roman"/>
          <w:color w:val="auto"/>
          <w:kern w:val="10"/>
          <w:sz w:val="32"/>
          <w:szCs w:val="32"/>
          <w:highlight w:val="none"/>
          <w:lang w:val="en-US" w:eastAsia="zh-CN"/>
        </w:rPr>
        <w:t>元、第二档亩均21</w:t>
      </w:r>
      <w:r>
        <w:rPr>
          <w:rFonts w:hint="eastAsia" w:cs="Times New Roman"/>
          <w:color w:val="auto"/>
          <w:kern w:val="10"/>
          <w:sz w:val="32"/>
          <w:szCs w:val="32"/>
          <w:highlight w:val="none"/>
          <w:lang w:val="en-US" w:eastAsia="zh-CN"/>
        </w:rPr>
        <w:t>34</w:t>
      </w:r>
      <w:r>
        <w:rPr>
          <w:rFonts w:hint="eastAsia" w:ascii="Times New Roman" w:hAnsi="Times New Roman" w:eastAsia="仿宋" w:cs="Times New Roman"/>
          <w:color w:val="auto"/>
          <w:kern w:val="10"/>
          <w:sz w:val="32"/>
          <w:szCs w:val="32"/>
          <w:highlight w:val="none"/>
          <w:lang w:val="en-US" w:eastAsia="zh-CN"/>
        </w:rPr>
        <w:t>元、第三档亩均2</w:t>
      </w:r>
      <w:r>
        <w:rPr>
          <w:rFonts w:hint="eastAsia" w:cs="Times New Roman"/>
          <w:color w:val="auto"/>
          <w:kern w:val="10"/>
          <w:sz w:val="32"/>
          <w:szCs w:val="32"/>
          <w:highlight w:val="none"/>
          <w:lang w:val="en-US" w:eastAsia="zh-CN"/>
        </w:rPr>
        <w:t>190</w:t>
      </w:r>
      <w:r>
        <w:rPr>
          <w:rFonts w:hint="eastAsia" w:ascii="Times New Roman" w:hAnsi="Times New Roman" w:eastAsia="仿宋" w:cs="Times New Roman"/>
          <w:color w:val="auto"/>
          <w:kern w:val="10"/>
          <w:sz w:val="32"/>
          <w:szCs w:val="32"/>
          <w:highlight w:val="none"/>
          <w:lang w:val="en-US" w:eastAsia="zh-CN"/>
        </w:rPr>
        <w:t>元。按高标准农田年</w:t>
      </w:r>
      <w:r>
        <w:rPr>
          <w:rFonts w:hint="eastAsia" w:cs="Times New Roman"/>
          <w:color w:val="auto"/>
          <w:kern w:val="10"/>
          <w:sz w:val="32"/>
          <w:szCs w:val="32"/>
          <w:highlight w:val="none"/>
          <w:lang w:val="en-US" w:eastAsia="zh-CN"/>
        </w:rPr>
        <w:t>亩均</w:t>
      </w:r>
      <w:r>
        <w:rPr>
          <w:rFonts w:hint="eastAsia" w:ascii="Times New Roman" w:hAnsi="Times New Roman" w:eastAsia="仿宋" w:cs="Times New Roman"/>
          <w:color w:val="auto"/>
          <w:kern w:val="10"/>
          <w:sz w:val="32"/>
          <w:szCs w:val="32"/>
          <w:highlight w:val="none"/>
          <w:lang w:val="en-US" w:eastAsia="zh-CN"/>
        </w:rPr>
        <w:t>产值提高两个档次</w:t>
      </w:r>
      <w:r>
        <w:rPr>
          <w:rFonts w:hint="eastAsia" w:cs="Times New Roman"/>
          <w:color w:val="auto"/>
          <w:kern w:val="10"/>
          <w:sz w:val="32"/>
          <w:szCs w:val="32"/>
          <w:highlight w:val="none"/>
          <w:lang w:val="en-US" w:eastAsia="zh-CN"/>
        </w:rPr>
        <w:t>即169元，依此</w:t>
      </w:r>
      <w:r>
        <w:rPr>
          <w:rFonts w:hint="eastAsia" w:ascii="Times New Roman" w:hAnsi="Times New Roman" w:eastAsia="仿宋" w:cs="Times New Roman"/>
          <w:color w:val="auto"/>
          <w:kern w:val="10"/>
          <w:sz w:val="32"/>
          <w:szCs w:val="32"/>
          <w:highlight w:val="none"/>
          <w:lang w:val="en-US" w:eastAsia="zh-CN"/>
        </w:rPr>
        <w:t>估算，高标准农田预期每年可实现增产收益</w:t>
      </w:r>
      <w:r>
        <w:rPr>
          <w:rFonts w:hint="eastAsia" w:cs="Times New Roman"/>
          <w:color w:val="auto"/>
          <w:kern w:val="10"/>
          <w:sz w:val="32"/>
          <w:szCs w:val="32"/>
          <w:highlight w:val="none"/>
          <w:lang w:val="en-US" w:eastAsia="zh-CN"/>
        </w:rPr>
        <w:t>422.5</w:t>
      </w:r>
      <w:r>
        <w:rPr>
          <w:rFonts w:hint="eastAsia" w:ascii="Times New Roman" w:hAnsi="Times New Roman" w:eastAsia="仿宋" w:cs="Times New Roman"/>
          <w:color w:val="auto"/>
          <w:kern w:val="10"/>
          <w:sz w:val="32"/>
          <w:szCs w:val="32"/>
          <w:highlight w:val="none"/>
          <w:lang w:val="en-US" w:eastAsia="zh-CN"/>
        </w:rPr>
        <w:t>万元。</w:t>
      </w:r>
    </w:p>
    <w:p>
      <w:pPr>
        <w:pStyle w:val="6"/>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三、社会效益</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改变贫困落后面貌，加快全面建设小康社会步伐。</w:t>
      </w:r>
      <w:r>
        <w:rPr>
          <w:rFonts w:hint="eastAsia" w:ascii="Times New Roman" w:hAnsi="Times New Roman" w:eastAsia="仿宋" w:cs="Times New Roman"/>
          <w:color w:val="auto"/>
          <w:kern w:val="10"/>
          <w:sz w:val="32"/>
          <w:szCs w:val="32"/>
          <w:highlight w:val="none"/>
          <w:lang w:val="en-US" w:eastAsia="zh-CN"/>
        </w:rPr>
        <w:t>规划设施后，将带动实现农业产业结构的优化调整，有效拉动内需，加快当地群众脱贫致富，改变贫困落后面貌，促进</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经济繁荣稳定和社会和谐发展，加快全面建设小康社会步伐。</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人居环境得到改善，加快美丽乡村建设步伐。</w:t>
      </w:r>
      <w:r>
        <w:rPr>
          <w:rFonts w:hint="eastAsia" w:ascii="Times New Roman" w:hAnsi="Times New Roman" w:eastAsia="仿宋" w:cs="Times New Roman"/>
          <w:color w:val="auto"/>
          <w:kern w:val="10"/>
          <w:sz w:val="32"/>
          <w:szCs w:val="32"/>
          <w:highlight w:val="none"/>
          <w:lang w:val="en-US" w:eastAsia="zh-CN"/>
        </w:rPr>
        <w:t>规划设施后，将实现城乡人居环境显著改善，人居安全得到有力保障，同时也推动</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美丽乡村建设，促进科教、文化、卫生事业发展，群众文化素质和身体素质得到普遍提高，经济繁荣稳定、社会和谐发展，城乡生态优良，居民增收富裕</w:t>
      </w:r>
      <w:r>
        <w:rPr>
          <w:rFonts w:hint="eastAsia" w:ascii="仿宋" w:hAnsi="仿宋" w:eastAsia="仿宋" w:cs="仿宋"/>
          <w:i w:val="0"/>
          <w:caps w:val="0"/>
          <w:color w:val="auto"/>
          <w:spacing w:val="0"/>
          <w:sz w:val="32"/>
          <w:szCs w:val="32"/>
          <w:highlight w:val="none"/>
          <w:shd w:val="clear" w:fill="FFFFFF"/>
        </w:rPr>
        <w:t>。</w:t>
      </w:r>
      <w:r>
        <w:rPr>
          <w:rFonts w:hint="eastAsia" w:ascii="Times New Roman" w:hAnsi="Times New Roman" w:eastAsia="仿宋" w:cs="Times New Roman"/>
          <w:color w:val="auto"/>
          <w:kern w:val="10"/>
          <w:sz w:val="32"/>
          <w:szCs w:val="32"/>
          <w:highlight w:val="none"/>
          <w:lang w:val="en-US" w:eastAsia="zh-CN"/>
        </w:rPr>
        <w:t>全面建成</w:t>
      </w:r>
      <w:r>
        <w:rPr>
          <w:rFonts w:hint="eastAsia" w:ascii="仿宋" w:hAnsi="仿宋" w:eastAsia="仿宋" w:cs="仿宋"/>
          <w:i w:val="0"/>
          <w:caps w:val="0"/>
          <w:color w:val="auto"/>
          <w:spacing w:val="0"/>
          <w:sz w:val="32"/>
          <w:szCs w:val="32"/>
          <w:highlight w:val="none"/>
          <w:shd w:val="clear" w:fill="FFFFFF"/>
        </w:rPr>
        <w:t>赣深高铁沿线</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工业强、旅游旺、城乡美、百姓富</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明珠市，革命老区高质量发展示范区龙南样板</w:t>
      </w:r>
      <w:r>
        <w:rPr>
          <w:rFonts w:hint="eastAsia" w:ascii="Times New Roman" w:hAnsi="Times New Roman" w:eastAsia="仿宋_GB2312" w:cs="Times New Roman"/>
          <w:color w:val="auto"/>
          <w:sz w:val="32"/>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生态意识显著增强，生态文明理念深入人心。</w:t>
      </w:r>
      <w:r>
        <w:rPr>
          <w:rFonts w:hint="eastAsia" w:ascii="Times New Roman" w:hAnsi="Times New Roman" w:eastAsia="仿宋" w:cs="Times New Roman"/>
          <w:color w:val="auto"/>
          <w:kern w:val="10"/>
          <w:sz w:val="32"/>
          <w:szCs w:val="32"/>
          <w:highlight w:val="none"/>
          <w:lang w:val="en-US" w:eastAsia="zh-CN"/>
        </w:rPr>
        <w:t>通过规划重大工程的实施，社会对生态保护与修复的重要性和价值有了更深刻的认识，逐步形成生态保护与修复知识的学习和教育意识，进一步树立生态价值意识、生态保护与修复责任意识和生态保护道德意识，自觉践行节约资源、绿色生产、绿色消费、绿色发展，生态文明理念深入人心，实现人与自然和谐发展，形成全社会动员，共治、共管、共享的生态文明新格局。</w:t>
      </w:r>
    </w:p>
    <w:p>
      <w:pPr>
        <w:ind w:firstLine="640"/>
        <w:rPr>
          <w:rFonts w:hint="eastAsia"/>
          <w:color w:val="auto"/>
          <w:highlight w:val="none"/>
        </w:rPr>
      </w:pPr>
    </w:p>
    <w:p>
      <w:pPr>
        <w:ind w:firstLine="640"/>
        <w:rPr>
          <w:rFonts w:hint="eastAsia"/>
          <w:color w:val="auto"/>
          <w:highlight w:val="none"/>
        </w:rPr>
      </w:pPr>
    </w:p>
    <w:p>
      <w:pPr>
        <w:ind w:firstLine="640"/>
        <w:rPr>
          <w:rFonts w:hint="eastAsia"/>
          <w:color w:val="auto"/>
          <w:highlight w:val="none"/>
        </w:rPr>
      </w:pPr>
    </w:p>
    <w:p>
      <w:pPr>
        <w:ind w:firstLine="640"/>
        <w:rPr>
          <w:rFonts w:hint="eastAsia"/>
          <w:color w:val="auto"/>
          <w:highlight w:val="none"/>
        </w:rPr>
      </w:pPr>
    </w:p>
    <w:p>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rFonts w:hint="eastAsia"/>
          <w:color w:val="auto"/>
          <w:sz w:val="21"/>
          <w:szCs w:val="21"/>
          <w:highlight w:val="none"/>
        </w:rPr>
      </w:pPr>
    </w:p>
    <w:p>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rFonts w:hint="eastAsia"/>
          <w:color w:val="auto"/>
          <w:sz w:val="21"/>
          <w:szCs w:val="21"/>
          <w:highlight w:val="none"/>
        </w:rPr>
        <w:sectPr>
          <w:pgSz w:w="11906" w:h="16838"/>
          <w:pgMar w:top="1100" w:right="1800" w:bottom="1440" w:left="1800" w:header="851" w:footer="992" w:gutter="0"/>
          <w:cols w:space="0" w:num="1"/>
          <w:rtlGutter w:val="0"/>
          <w:docGrid w:type="lines" w:linePitch="312" w:charSpace="0"/>
        </w:sectPr>
      </w:pPr>
    </w:p>
    <w:p>
      <w:pPr>
        <w:pStyle w:val="4"/>
        <w:rPr>
          <w:color w:val="auto"/>
          <w:highlight w:val="none"/>
        </w:rPr>
      </w:pPr>
      <w:bookmarkStart w:id="75" w:name="_Toc30591"/>
      <w:bookmarkStart w:id="76" w:name="_Toc185"/>
      <w:r>
        <w:rPr>
          <w:rFonts w:hint="eastAsia"/>
          <w:color w:val="auto"/>
          <w:highlight w:val="none"/>
        </w:rPr>
        <w:t>第</w:t>
      </w:r>
      <w:r>
        <w:rPr>
          <w:rFonts w:hint="eastAsia"/>
          <w:color w:val="auto"/>
          <w:highlight w:val="none"/>
          <w:lang w:val="en-US" w:eastAsia="zh-CN"/>
        </w:rPr>
        <w:t>八</w:t>
      </w:r>
      <w:r>
        <w:rPr>
          <w:rFonts w:hint="eastAsia"/>
          <w:color w:val="auto"/>
          <w:highlight w:val="none"/>
        </w:rPr>
        <w:t>章 保障机制</w:t>
      </w:r>
      <w:bookmarkEnd w:id="75"/>
      <w:bookmarkEnd w:id="76"/>
    </w:p>
    <w:p>
      <w:pPr>
        <w:keepNext w:val="0"/>
        <w:keepLines w:val="0"/>
        <w:pageBreakBefore w:val="0"/>
        <w:widowControl w:val="0"/>
        <w:kinsoku/>
        <w:wordWrap/>
        <w:overflowPunct w:val="0"/>
        <w:topLinePunct w:val="0"/>
        <w:autoSpaceDE/>
        <w:autoSpaceDN/>
        <w:bidi w:val="0"/>
        <w:adjustRightInd w:val="0"/>
        <w:snapToGrid w:val="0"/>
        <w:spacing w:line="240" w:lineRule="atLeast"/>
        <w:ind w:firstLine="640"/>
        <w:textAlignment w:val="auto"/>
        <w:rPr>
          <w:color w:val="auto"/>
          <w:highlight w:val="none"/>
        </w:rPr>
      </w:pPr>
    </w:p>
    <w:p>
      <w:pPr>
        <w:pStyle w:val="5"/>
        <w:rPr>
          <w:color w:val="auto"/>
          <w:highlight w:val="none"/>
        </w:rPr>
      </w:pPr>
      <w:bookmarkStart w:id="77" w:name="_Toc32085"/>
      <w:bookmarkStart w:id="78" w:name="_Toc15888"/>
      <w:r>
        <w:rPr>
          <w:rFonts w:hint="eastAsia"/>
          <w:color w:val="auto"/>
          <w:highlight w:val="none"/>
        </w:rPr>
        <w:t>第一节 加强组织领导</w:t>
      </w:r>
      <w:bookmarkEnd w:id="77"/>
      <w:bookmarkEnd w:id="78"/>
    </w:p>
    <w:p>
      <w:pPr>
        <w:ind w:firstLine="643"/>
        <w:rPr>
          <w:color w:val="auto"/>
          <w:highlight w:val="none"/>
          <w:lang w:bidi="ar"/>
        </w:rPr>
      </w:pPr>
      <w:r>
        <w:rPr>
          <w:rFonts w:hint="eastAsia"/>
          <w:b/>
          <w:bCs/>
          <w:color w:val="auto"/>
          <w:highlight w:val="none"/>
          <w:lang w:bidi="ar"/>
        </w:rPr>
        <w:t>（一）加强规划实施政府主导，落实地方责任。</w:t>
      </w:r>
      <w:r>
        <w:rPr>
          <w:rFonts w:hint="eastAsia"/>
          <w:color w:val="auto"/>
          <w:highlight w:val="none"/>
          <w:lang w:bidi="ar"/>
        </w:rPr>
        <w:t>建立由龙南市人民政府统一领导，龙南市自然资源局组织协调，各乡、镇（街道）、林业、水利、环保、公安、财政等有关部门参加的国土空间生态修复项目联合执行管理机构，明确各部门职责分工，为落实国土空间生态修复项目管理职能提供有效的组织保障；项目实施可由市政府分管领导为组长、自然资源局、林业、水利、环保等部门分管领导为副组长、其相关部门技术骨干力量为成员组成的管理机构，各乡、镇（街道）以负责国土空间生态修复项目的具体施工、协调和管理工作。各地各单位要结合实际，尽快制定实施方案，明确责任主体，细化工作目标，强化保障措施，切实把各项政策措施落到实处。</w:t>
      </w:r>
    </w:p>
    <w:p>
      <w:pPr>
        <w:ind w:firstLine="643"/>
        <w:rPr>
          <w:color w:val="auto"/>
          <w:highlight w:val="none"/>
          <w:lang w:bidi="ar"/>
        </w:rPr>
      </w:pPr>
      <w:r>
        <w:rPr>
          <w:rFonts w:hint="eastAsia"/>
          <w:b/>
          <w:bCs/>
          <w:color w:val="auto"/>
          <w:highlight w:val="none"/>
          <w:lang w:bidi="ar"/>
        </w:rPr>
        <w:t>（二）实行系统管理，构建国土空间生态修复管理机制。</w:t>
      </w:r>
      <w:r>
        <w:rPr>
          <w:rFonts w:hint="eastAsia"/>
          <w:color w:val="auto"/>
          <w:highlight w:val="none"/>
          <w:lang w:bidi="ar"/>
        </w:rPr>
        <w:t>强化政府部门对山水林田湖生命共同体的认识，建立部门间的协调机制和统一监管机制。建立统筹协调机制，打破部门分割现状，加强部门联动，形成管理合力，协同推进国土空间生态保护与修复工程。明确各管理部门在国土空间生态保护修复工程实施与管理中的职责权限，形成协调统一的工作机制。建立联席会议机制，研究解决管理工作中的新情况、新问题。建立统一的监管机制包括统一的监管平台、统一的评价指标体系和考核体系，对各部门责任主体实行统一评价与考核。</w:t>
      </w:r>
    </w:p>
    <w:p>
      <w:pPr>
        <w:pStyle w:val="5"/>
        <w:rPr>
          <w:color w:val="auto"/>
          <w:highlight w:val="none"/>
        </w:rPr>
      </w:pPr>
      <w:bookmarkStart w:id="79" w:name="_Toc14954"/>
      <w:bookmarkStart w:id="80" w:name="_Toc7940"/>
      <w:r>
        <w:rPr>
          <w:rFonts w:hint="eastAsia"/>
          <w:color w:val="auto"/>
          <w:highlight w:val="none"/>
        </w:rPr>
        <w:t>第二节 创新政策体系</w:t>
      </w:r>
      <w:bookmarkEnd w:id="79"/>
      <w:bookmarkEnd w:id="80"/>
    </w:p>
    <w:p>
      <w:pPr>
        <w:ind w:firstLine="643"/>
        <w:rPr>
          <w:color w:val="auto"/>
          <w:highlight w:val="none"/>
          <w:lang w:bidi="ar"/>
        </w:rPr>
      </w:pPr>
      <w:r>
        <w:rPr>
          <w:rFonts w:hint="eastAsia"/>
          <w:b/>
          <w:bCs/>
          <w:color w:val="auto"/>
          <w:highlight w:val="none"/>
          <w:lang w:bidi="ar"/>
        </w:rPr>
        <w:t>（一）创新</w:t>
      </w:r>
      <w:r>
        <w:rPr>
          <w:b/>
          <w:bCs/>
          <w:color w:val="auto"/>
          <w:highlight w:val="none"/>
          <w:lang w:bidi="ar"/>
        </w:rPr>
        <w:t>补偿标准体系。</w:t>
      </w:r>
      <w:r>
        <w:rPr>
          <w:rFonts w:hint="eastAsia"/>
          <w:color w:val="auto"/>
          <w:highlight w:val="none"/>
          <w:lang w:val="en-US" w:eastAsia="zh-CN" w:bidi="ar"/>
        </w:rPr>
        <w:t>适时启动开展GEEP（绿色经济生态生产总值）、GEP（生态系统生产总值）核算工作，</w:t>
      </w:r>
      <w:r>
        <w:rPr>
          <w:color w:val="auto"/>
          <w:highlight w:val="none"/>
          <w:lang w:bidi="ar"/>
        </w:rPr>
        <w:t>结合</w:t>
      </w:r>
      <w:r>
        <w:rPr>
          <w:rFonts w:hint="eastAsia"/>
          <w:color w:val="auto"/>
          <w:highlight w:val="none"/>
          <w:lang w:bidi="ar"/>
        </w:rPr>
        <w:t>龙南市</w:t>
      </w:r>
      <w:r>
        <w:rPr>
          <w:color w:val="auto"/>
          <w:highlight w:val="none"/>
          <w:lang w:bidi="ar"/>
        </w:rPr>
        <w:t>不同地区的经济发展水平，加强不同地理空间的补偿等级划分和幅度选择，科学确定生态补偿指标体系、实施原则与计算方法，针对生态保护补偿应结合政府补偿和市场补偿两种机制，及环境法治多元参与的治理理念，政府补偿的高效率性和市场补偿主体的多元化、平等自愿性等优势结合，开展政策优惠、生态补偿等形式的生态保护补偿策略。完善重点生态区域补偿机制，充分考虑限制开发区和生态保护红线内的生态状况、资源禀赋和产业基础，完善测算方法，有针对地制定补偿标准。加大生态脱贫的政策扶持力度，加强生态移民的转移就业培训工作，加快农民脱贫致富进程，调动农民保护生态的积极性，从</w:t>
      </w:r>
      <w:r>
        <w:rPr>
          <w:rFonts w:hint="eastAsia"/>
          <w:color w:val="auto"/>
          <w:highlight w:val="none"/>
          <w:lang w:bidi="ar"/>
        </w:rPr>
        <w:t>“</w:t>
      </w:r>
      <w:r>
        <w:rPr>
          <w:color w:val="auto"/>
          <w:highlight w:val="none"/>
          <w:lang w:bidi="ar"/>
        </w:rPr>
        <w:t>要我保护</w:t>
      </w:r>
      <w:r>
        <w:rPr>
          <w:rFonts w:hint="eastAsia"/>
          <w:color w:val="auto"/>
          <w:highlight w:val="none"/>
          <w:lang w:bidi="ar"/>
        </w:rPr>
        <w:t>”</w:t>
      </w:r>
      <w:r>
        <w:rPr>
          <w:color w:val="auto"/>
          <w:highlight w:val="none"/>
          <w:lang w:bidi="ar"/>
        </w:rPr>
        <w:t>向</w:t>
      </w:r>
      <w:r>
        <w:rPr>
          <w:rFonts w:hint="eastAsia"/>
          <w:color w:val="auto"/>
          <w:highlight w:val="none"/>
          <w:lang w:bidi="ar"/>
        </w:rPr>
        <w:t>“</w:t>
      </w:r>
      <w:r>
        <w:rPr>
          <w:color w:val="auto"/>
          <w:highlight w:val="none"/>
          <w:lang w:bidi="ar"/>
        </w:rPr>
        <w:t>我要保护</w:t>
      </w:r>
      <w:r>
        <w:rPr>
          <w:rFonts w:hint="eastAsia"/>
          <w:color w:val="auto"/>
          <w:highlight w:val="none"/>
          <w:lang w:bidi="ar"/>
        </w:rPr>
        <w:t>”</w:t>
      </w:r>
      <w:r>
        <w:rPr>
          <w:color w:val="auto"/>
          <w:highlight w:val="none"/>
          <w:lang w:bidi="ar"/>
        </w:rPr>
        <w:t>转变。</w:t>
      </w:r>
    </w:p>
    <w:p>
      <w:pPr>
        <w:ind w:firstLine="643"/>
        <w:rPr>
          <w:rFonts w:hint="eastAsia"/>
          <w:color w:val="auto"/>
          <w:highlight w:val="none"/>
          <w:lang w:bidi="ar"/>
        </w:rPr>
      </w:pPr>
      <w:r>
        <w:rPr>
          <w:rFonts w:hint="eastAsia"/>
          <w:b/>
          <w:bCs/>
          <w:color w:val="auto"/>
          <w:highlight w:val="none"/>
          <w:lang w:bidi="ar"/>
        </w:rPr>
        <w:t>（二）</w:t>
      </w:r>
      <w:r>
        <w:rPr>
          <w:b/>
          <w:bCs/>
          <w:color w:val="auto"/>
          <w:highlight w:val="none"/>
          <w:lang w:bidi="ar"/>
        </w:rPr>
        <w:t>落实生态补偿政策</w:t>
      </w:r>
      <w:r>
        <w:rPr>
          <w:color w:val="auto"/>
          <w:highlight w:val="none"/>
          <w:lang w:bidi="ar"/>
        </w:rPr>
        <w:t>。积极向上争取建立稳定的财政投入机制，加大重点生态功能区转移支付力度。建立受益地区与保护地区、流域上下游生态补偿制度，开展</w:t>
      </w:r>
      <w:r>
        <w:rPr>
          <w:rFonts w:hint="eastAsia"/>
          <w:color w:val="auto"/>
          <w:highlight w:val="none"/>
          <w:lang w:bidi="ar"/>
        </w:rPr>
        <w:t>龙南市</w:t>
      </w:r>
      <w:r>
        <w:rPr>
          <w:color w:val="auto"/>
          <w:highlight w:val="none"/>
          <w:lang w:bidi="ar"/>
        </w:rPr>
        <w:t>横向生态补偿，建立生态补偿基金，补偿资金来源于下游受益地区和受益企业。</w:t>
      </w:r>
      <w:r>
        <w:rPr>
          <w:rFonts w:hint="eastAsia"/>
          <w:color w:val="auto"/>
          <w:highlight w:val="none"/>
          <w:lang w:bidi="ar"/>
        </w:rPr>
        <w:t>加快推动生态保护地区转变发展方式、提升优质生态产品供给能力。全面实行排污许可制，加快推进排污权、用能权、用水权、碳排放权市场化交易，健全环境权益交易制度和市场化机制，建立完善财政支持与生态保护成效挂钩机制。</w:t>
      </w:r>
    </w:p>
    <w:p>
      <w:pPr>
        <w:pStyle w:val="5"/>
        <w:rPr>
          <w:color w:val="auto"/>
          <w:highlight w:val="none"/>
        </w:rPr>
      </w:pPr>
      <w:bookmarkStart w:id="81" w:name="_Toc26917"/>
      <w:bookmarkStart w:id="82" w:name="_Toc3360"/>
      <w:r>
        <w:rPr>
          <w:rFonts w:hint="eastAsia"/>
          <w:color w:val="auto"/>
          <w:highlight w:val="none"/>
        </w:rPr>
        <w:t>第三节 加强科技支撑</w:t>
      </w:r>
      <w:bookmarkEnd w:id="81"/>
      <w:bookmarkEnd w:id="82"/>
    </w:p>
    <w:p>
      <w:pPr>
        <w:ind w:firstLine="640"/>
        <w:rPr>
          <w:color w:val="auto"/>
          <w:highlight w:val="none"/>
          <w:lang w:bidi="ar"/>
        </w:rPr>
      </w:pPr>
      <w:r>
        <w:rPr>
          <w:rFonts w:hint="eastAsia"/>
          <w:color w:val="auto"/>
          <w:highlight w:val="none"/>
          <w:lang w:bidi="ar"/>
        </w:rPr>
        <w:t>积极推广使用国土空间生态修复项目特别是开发性治理的新理论、新技术、新方法，充分利用现代科学技术方法和手段，提高生态修复项目综合能力和管理水平。</w:t>
      </w:r>
    </w:p>
    <w:p>
      <w:pPr>
        <w:ind w:firstLine="643"/>
        <w:rPr>
          <w:color w:val="auto"/>
          <w:highlight w:val="none"/>
          <w:lang w:bidi="ar"/>
        </w:rPr>
      </w:pPr>
      <w:r>
        <w:rPr>
          <w:rFonts w:hint="eastAsia"/>
          <w:b/>
          <w:bCs/>
          <w:color w:val="auto"/>
          <w:highlight w:val="none"/>
          <w:lang w:bidi="ar"/>
        </w:rPr>
        <w:t>（一）</w:t>
      </w:r>
      <w:r>
        <w:rPr>
          <w:b/>
          <w:bCs/>
          <w:color w:val="auto"/>
          <w:highlight w:val="none"/>
          <w:lang w:bidi="ar"/>
        </w:rPr>
        <w:t>积极开发高科技生态产业项目。</w:t>
      </w:r>
      <w:r>
        <w:rPr>
          <w:color w:val="auto"/>
          <w:highlight w:val="none"/>
          <w:lang w:bidi="ar"/>
        </w:rPr>
        <w:t>加强</w:t>
      </w:r>
      <w:r>
        <w:rPr>
          <w:rFonts w:hint="eastAsia"/>
          <w:color w:val="auto"/>
          <w:highlight w:val="none"/>
          <w:lang w:bidi="ar"/>
        </w:rPr>
        <w:t>国土空间</w:t>
      </w:r>
      <w:r>
        <w:rPr>
          <w:color w:val="auto"/>
          <w:highlight w:val="none"/>
          <w:lang w:bidi="ar"/>
        </w:rPr>
        <w:t>生态修复先进技术的引进、推广，与国家级科研院所、高校和江西省科研机构开展密切合作，积极开发、引进清洁生产、生态环境保护、资源综合利用和废弃物资源化等方面的各类新技术、新工艺，新产品。开展生态系统服务价值核算，探索生态产品及其价值实现的路径。加强</w:t>
      </w:r>
      <w:r>
        <w:rPr>
          <w:rFonts w:hint="eastAsia"/>
          <w:color w:val="auto"/>
          <w:highlight w:val="none"/>
          <w:lang w:bidi="ar"/>
        </w:rPr>
        <w:t>龙南市</w:t>
      </w:r>
      <w:r>
        <w:rPr>
          <w:color w:val="auto"/>
          <w:highlight w:val="none"/>
          <w:lang w:bidi="ar"/>
        </w:rPr>
        <w:t>生态产品价值、生态环境承载评估等基础理论研究，及时摸清生态本底，推动</w:t>
      </w:r>
      <w:r>
        <w:rPr>
          <w:rFonts w:hint="eastAsia"/>
          <w:color w:val="auto"/>
          <w:highlight w:val="none"/>
          <w:lang w:bidi="ar"/>
        </w:rPr>
        <w:t>龙南市国土空间</w:t>
      </w:r>
      <w:r>
        <w:rPr>
          <w:color w:val="auto"/>
          <w:highlight w:val="none"/>
          <w:lang w:bidi="ar"/>
        </w:rPr>
        <w:t>生态修复。</w:t>
      </w:r>
    </w:p>
    <w:p>
      <w:pPr>
        <w:ind w:firstLine="643"/>
        <w:rPr>
          <w:color w:val="auto"/>
          <w:highlight w:val="none"/>
          <w:lang w:bidi="ar"/>
        </w:rPr>
      </w:pPr>
      <w:r>
        <w:rPr>
          <w:rFonts w:hint="eastAsia"/>
          <w:b/>
          <w:bCs/>
          <w:color w:val="auto"/>
          <w:highlight w:val="none"/>
          <w:lang w:bidi="ar"/>
        </w:rPr>
        <w:t>（二）建立健全人才引进、培养和使用激励机制。</w:t>
      </w:r>
      <w:r>
        <w:rPr>
          <w:rFonts w:hint="eastAsia"/>
          <w:color w:val="auto"/>
          <w:highlight w:val="none"/>
          <w:lang w:bidi="ar"/>
        </w:rPr>
        <w:t>引进和培养一批在国内具有一定影响力的环保科技专家及各专业领域的学术或技术带头人，推动高级环境科技人才队伍建设，加强国土空间生态修复项目管理队伍、专业技术支撑队伍和专家咨询机构的建设，提高国土空间生态修复项目队伍的整体素质。加强农业面源污染防治队伍建设，不断提升农业面源污染治理能力。建立专项基金，给予主导产业的高端人才优惠政策，吸引生态环保建设领域所需的各类高科技人才落户；加强对从事国土空间生态修复、生态经济建设专职人员技术培训，强化政府部门工作人员培训，支持龙头企业建立培训机构，鼓励和资助企业员工参加技术再培训，培养一支懂业务、善协调、会管理的国土空间生态修复专业队伍。</w:t>
      </w:r>
    </w:p>
    <w:p>
      <w:pPr>
        <w:pStyle w:val="5"/>
        <w:rPr>
          <w:color w:val="auto"/>
          <w:highlight w:val="none"/>
        </w:rPr>
      </w:pPr>
      <w:bookmarkStart w:id="83" w:name="_Toc20239"/>
      <w:bookmarkStart w:id="84" w:name="_Toc25335"/>
      <w:r>
        <w:rPr>
          <w:rFonts w:hint="eastAsia"/>
          <w:color w:val="auto"/>
          <w:highlight w:val="none"/>
        </w:rPr>
        <w:t>第四节 强化评估监管</w:t>
      </w:r>
      <w:bookmarkEnd w:id="83"/>
      <w:bookmarkEnd w:id="84"/>
    </w:p>
    <w:p>
      <w:pPr>
        <w:ind w:firstLine="643"/>
        <w:rPr>
          <w:color w:val="auto"/>
          <w:highlight w:val="none"/>
          <w:lang w:bidi="ar"/>
        </w:rPr>
      </w:pPr>
      <w:r>
        <w:rPr>
          <w:rFonts w:hint="eastAsia"/>
          <w:b/>
          <w:bCs/>
          <w:color w:val="auto"/>
          <w:highlight w:val="none"/>
          <w:lang w:bidi="ar"/>
        </w:rPr>
        <w:t>（一）加强信息公开。</w:t>
      </w:r>
      <w:r>
        <w:rPr>
          <w:rFonts w:hint="eastAsia"/>
          <w:color w:val="auto"/>
          <w:highlight w:val="none"/>
          <w:lang w:bidi="ar"/>
        </w:rPr>
        <w:t>按照“公开为常态、不公开为例外”的原则，除涉密性信息外，龙南市国土空间生态修复工程的中央财政补贴专项资金、省级补贴资金、市政府配套资金的使用进行公开公示，并根据资金分配管理流程，对专项资金实行全链条公开，公开内容涵盖专项资金目录、管理制度、申报指南、分配公式和因素、分配结果、绩效评价结果等，使各方面能够全面、完整地获取专项资金信息。</w:t>
      </w:r>
    </w:p>
    <w:p>
      <w:pPr>
        <w:ind w:firstLine="643"/>
        <w:rPr>
          <w:rFonts w:eastAsia="黑体" w:cs="黑体"/>
          <w:color w:val="auto"/>
          <w:szCs w:val="32"/>
          <w:highlight w:val="none"/>
        </w:rPr>
      </w:pPr>
      <w:r>
        <w:rPr>
          <w:rFonts w:hint="eastAsia"/>
          <w:b/>
          <w:bCs/>
          <w:color w:val="auto"/>
          <w:highlight w:val="none"/>
          <w:lang w:bidi="ar"/>
        </w:rPr>
        <w:t>（二）健全监督机制。</w:t>
      </w:r>
      <w:r>
        <w:rPr>
          <w:rFonts w:hint="eastAsia"/>
          <w:color w:val="auto"/>
          <w:highlight w:val="none"/>
          <w:lang w:bidi="ar"/>
        </w:rPr>
        <w:t>丰富生态环境保护公众监督形式，保障和拓宽公众参与渠道，健全监督举报制度和环境舆论监督制度，建立公众参与的环境后督察和后评估机制。搭建多样化的信息交流渠道和平台，以电视、网络、报刊、问卷、听证会、座谈会、走访等多种形式开展公众参与。</w:t>
      </w:r>
    </w:p>
    <w:p>
      <w:pPr>
        <w:pStyle w:val="5"/>
        <w:rPr>
          <w:color w:val="auto"/>
          <w:highlight w:val="none"/>
        </w:rPr>
      </w:pPr>
      <w:bookmarkStart w:id="85" w:name="_Toc4929"/>
      <w:bookmarkStart w:id="86" w:name="_Toc20305"/>
      <w:r>
        <w:rPr>
          <w:rFonts w:hint="eastAsia"/>
          <w:color w:val="auto"/>
          <w:highlight w:val="none"/>
        </w:rPr>
        <w:t>第五节 鼓励公众参与</w:t>
      </w:r>
      <w:bookmarkEnd w:id="85"/>
      <w:bookmarkEnd w:id="86"/>
    </w:p>
    <w:p>
      <w:pPr>
        <w:ind w:firstLine="643"/>
        <w:rPr>
          <w:color w:val="auto"/>
          <w:highlight w:val="none"/>
          <w:lang w:bidi="ar"/>
        </w:rPr>
      </w:pPr>
      <w:r>
        <w:rPr>
          <w:rFonts w:hint="eastAsia"/>
          <w:b/>
          <w:bCs/>
          <w:color w:val="auto"/>
          <w:highlight w:val="none"/>
          <w:lang w:bidi="ar"/>
        </w:rPr>
        <w:t>（一）制定奖惩措施，积极引导公众参与生态文明建设。</w:t>
      </w:r>
      <w:r>
        <w:rPr>
          <w:color w:val="auto"/>
          <w:highlight w:val="none"/>
          <w:lang w:bidi="ar"/>
        </w:rPr>
        <w:t>积极支持符合条件的企业、农民合作社、家庭农场、民营林场、专业大户等经营主体参与国土空间生态修复项目，引导和激发社会主体参与国土空间生态修复工作的积极性。制定相关奖惩措施，对在国土空间</w:t>
      </w:r>
      <w:r>
        <w:rPr>
          <w:rFonts w:hint="eastAsia"/>
          <w:color w:val="auto"/>
          <w:highlight w:val="none"/>
          <w:lang w:bidi="ar"/>
        </w:rPr>
        <w:t>生态修复规划</w:t>
      </w:r>
      <w:r>
        <w:rPr>
          <w:color w:val="auto"/>
          <w:highlight w:val="none"/>
          <w:lang w:bidi="ar"/>
        </w:rPr>
        <w:t>项目工作中做出突出贡献的单位和个人给予应有的奖励，</w:t>
      </w:r>
      <w:r>
        <w:rPr>
          <w:rFonts w:hint="eastAsia"/>
          <w:color w:val="auto"/>
          <w:highlight w:val="none"/>
          <w:lang w:bidi="ar"/>
        </w:rPr>
        <w:t>鼓励公众参与，</w:t>
      </w:r>
      <w:r>
        <w:rPr>
          <w:color w:val="auto"/>
          <w:highlight w:val="none"/>
          <w:lang w:bidi="ar"/>
        </w:rPr>
        <w:t>不断提高国土空间</w:t>
      </w:r>
      <w:r>
        <w:rPr>
          <w:rFonts w:hint="eastAsia"/>
          <w:color w:val="auto"/>
          <w:highlight w:val="none"/>
          <w:lang w:bidi="ar"/>
        </w:rPr>
        <w:t>生态修复规划</w:t>
      </w:r>
      <w:r>
        <w:rPr>
          <w:color w:val="auto"/>
          <w:highlight w:val="none"/>
          <w:lang w:bidi="ar"/>
        </w:rPr>
        <w:t>项目工作的全民参与度</w:t>
      </w:r>
      <w:r>
        <w:rPr>
          <w:rFonts w:hint="eastAsia"/>
          <w:color w:val="auto"/>
          <w:highlight w:val="none"/>
          <w:lang w:bidi="ar"/>
        </w:rPr>
        <w:t>。努力</w:t>
      </w:r>
      <w:r>
        <w:rPr>
          <w:color w:val="auto"/>
          <w:highlight w:val="none"/>
          <w:lang w:bidi="ar"/>
        </w:rPr>
        <w:t>回应人民关切，着力解决群众反映突出的环境问题。以环保督查问题整改为总抓手，着力解决涉及群众切身利益的突出环境问题，努力增加人民群众在生态文明建设中的获得感。</w:t>
      </w:r>
    </w:p>
    <w:p>
      <w:pPr>
        <w:ind w:firstLine="643"/>
        <w:rPr>
          <w:color w:val="auto"/>
          <w:highlight w:val="none"/>
          <w:lang w:bidi="ar"/>
        </w:rPr>
      </w:pPr>
      <w:r>
        <w:rPr>
          <w:rFonts w:hint="eastAsia"/>
          <w:b/>
          <w:bCs/>
          <w:color w:val="auto"/>
          <w:highlight w:val="none"/>
          <w:lang w:bidi="ar"/>
        </w:rPr>
        <w:t>（二）加强科学普及、素质教育和技术培训工作。</w:t>
      </w:r>
      <w:r>
        <w:rPr>
          <w:rFonts w:hint="eastAsia"/>
          <w:color w:val="auto"/>
          <w:highlight w:val="none"/>
          <w:lang w:bidi="ar"/>
        </w:rPr>
        <w:t>大力宣传、普及生态学、生态经济学、地理学、环境科学等相关科学的知识，大力宣传生态环境保护与治理的重要性，增强广大干部群众环境意识，为方案的实施创造良好的社会环境。</w:t>
      </w:r>
      <w:r>
        <w:rPr>
          <w:color w:val="auto"/>
          <w:highlight w:val="none"/>
          <w:lang w:bidi="ar"/>
        </w:rPr>
        <w:t>推进共建共享，积极引导全</w:t>
      </w:r>
      <w:r>
        <w:rPr>
          <w:rFonts w:hint="eastAsia"/>
          <w:color w:val="auto"/>
          <w:highlight w:val="none"/>
          <w:lang w:bidi="ar"/>
        </w:rPr>
        <w:t>市</w:t>
      </w:r>
      <w:r>
        <w:rPr>
          <w:color w:val="auto"/>
          <w:highlight w:val="none"/>
          <w:lang w:bidi="ar"/>
        </w:rPr>
        <w:t>上下树立生态文明理念。</w:t>
      </w:r>
    </w:p>
    <w:p>
      <w:pPr>
        <w:ind w:firstLine="643"/>
        <w:rPr>
          <w:color w:val="auto"/>
          <w:highlight w:val="none"/>
          <w:lang w:bidi="ar"/>
        </w:rPr>
      </w:pPr>
      <w:r>
        <w:rPr>
          <w:rFonts w:hint="eastAsia"/>
          <w:b/>
          <w:bCs/>
          <w:color w:val="auto"/>
          <w:highlight w:val="none"/>
          <w:lang w:bidi="ar"/>
        </w:rPr>
        <w:t>（三）</w:t>
      </w:r>
      <w:r>
        <w:rPr>
          <w:b/>
          <w:bCs/>
          <w:color w:val="auto"/>
          <w:highlight w:val="none"/>
          <w:lang w:bidi="ar"/>
        </w:rPr>
        <w:t>建立健全全社会共同参与监督的渠道和机制。</w:t>
      </w:r>
      <w:r>
        <w:rPr>
          <w:color w:val="auto"/>
          <w:highlight w:val="none"/>
          <w:lang w:bidi="ar"/>
        </w:rPr>
        <w:t>积极发挥新闻媒体、社会组织和公众广泛参与的监督作用，通过多方位、多层次的监督，建立统一有力的监管体系。积极组织开展生态保护的宣传教育和科学知识普及工作，加大宣传力度，创新宣传方式，调动和发挥各类组织参与生态保护与管理监督的积极性。促进各个阶层，尤其是管理者对</w:t>
      </w:r>
      <w:r>
        <w:rPr>
          <w:rFonts w:hint="eastAsia"/>
          <w:color w:val="auto"/>
          <w:highlight w:val="none"/>
          <w:lang w:bidi="ar"/>
        </w:rPr>
        <w:t>“</w:t>
      </w:r>
      <w:r>
        <w:rPr>
          <w:color w:val="auto"/>
          <w:highlight w:val="none"/>
          <w:lang w:bidi="ar"/>
        </w:rPr>
        <w:t>绿水青山就是金山银山</w:t>
      </w:r>
      <w:r>
        <w:rPr>
          <w:rFonts w:hint="eastAsia"/>
          <w:color w:val="auto"/>
          <w:highlight w:val="none"/>
          <w:lang w:bidi="ar"/>
        </w:rPr>
        <w:t>”</w:t>
      </w:r>
      <w:r>
        <w:rPr>
          <w:color w:val="auto"/>
          <w:highlight w:val="none"/>
          <w:lang w:bidi="ar"/>
        </w:rPr>
        <w:t>的理解，摒弃生态环境保护与经济发展相对立的错误观点。</w:t>
      </w:r>
    </w:p>
    <w:p>
      <w:pPr>
        <w:pStyle w:val="5"/>
        <w:rPr>
          <w:color w:val="auto"/>
          <w:highlight w:val="none"/>
        </w:rPr>
      </w:pPr>
      <w:bookmarkStart w:id="87" w:name="_Toc16412"/>
      <w:bookmarkStart w:id="88" w:name="_Toc5511"/>
      <w:r>
        <w:rPr>
          <w:rFonts w:hint="eastAsia"/>
          <w:color w:val="auto"/>
          <w:highlight w:val="none"/>
        </w:rPr>
        <w:t>第六节 拓宽融资渠道</w:t>
      </w:r>
      <w:bookmarkEnd w:id="87"/>
      <w:bookmarkEnd w:id="88"/>
    </w:p>
    <w:p>
      <w:pPr>
        <w:ind w:firstLine="643"/>
        <w:rPr>
          <w:color w:val="auto"/>
          <w:highlight w:val="none"/>
          <w:lang w:bidi="ar"/>
        </w:rPr>
      </w:pPr>
      <w:r>
        <w:rPr>
          <w:rFonts w:hint="eastAsia"/>
          <w:b/>
          <w:bCs/>
          <w:color w:val="auto"/>
          <w:highlight w:val="none"/>
          <w:lang w:bidi="ar"/>
        </w:rPr>
        <w:t>（一）加大各级财政投入力度，为生态保护修复工程提供坚实保障。</w:t>
      </w:r>
      <w:r>
        <w:rPr>
          <w:rFonts w:hint="eastAsia"/>
          <w:color w:val="auto"/>
          <w:highlight w:val="none"/>
          <w:lang w:bidi="ar"/>
        </w:rPr>
        <w:t>综合考虑龙南市生态系统特点，积极争取中央及省级专项资金，市、县将生态保护修复工程资金列入财政预算，并加大工程资金投入。加强财政政策整合统筹，集中安排，形成合力。推行政府和社会资本合作模式，建立稳定、多元的投入机制。</w:t>
      </w:r>
    </w:p>
    <w:p>
      <w:pPr>
        <w:ind w:firstLine="643"/>
        <w:rPr>
          <w:color w:val="auto"/>
          <w:highlight w:val="none"/>
          <w:lang w:bidi="ar"/>
        </w:rPr>
      </w:pPr>
      <w:r>
        <w:rPr>
          <w:rFonts w:hint="eastAsia"/>
          <w:b/>
          <w:bCs/>
          <w:color w:val="auto"/>
          <w:highlight w:val="none"/>
          <w:lang w:bidi="ar"/>
        </w:rPr>
        <w:t>（二）健全生态保护补偿机制。</w:t>
      </w:r>
      <w:r>
        <w:rPr>
          <w:rFonts w:hint="eastAsia"/>
          <w:color w:val="auto"/>
          <w:highlight w:val="none"/>
          <w:lang w:bidi="ar"/>
        </w:rPr>
        <w:t>坚持谁受益、谁补偿原则，建立多渠道资金筹措机制，完善流域生态补偿机制。引导生态保护地区和受益地区遵循成本共担、效益共享、合作共治的思路，通过资金补助、对口支援、产业转移、园区合作、技术分享、税收共享等方式建立跨行政区的横向生态补偿机制，共同分担生态保护任务。完善生态公益林补偿机制，实行省级公益林与国家级公益林补偿联动、分类补偿与分档补助相结合的森林生态效益补偿机制。</w:t>
      </w:r>
    </w:p>
    <w:p>
      <w:pPr>
        <w:ind w:firstLine="643"/>
        <w:rPr>
          <w:rFonts w:hint="eastAsia"/>
          <w:color w:val="auto"/>
          <w:highlight w:val="none"/>
          <w:lang w:bidi="ar"/>
        </w:rPr>
      </w:pPr>
      <w:r>
        <w:rPr>
          <w:rFonts w:hint="eastAsia"/>
          <w:b/>
          <w:bCs/>
          <w:color w:val="auto"/>
          <w:highlight w:val="none"/>
          <w:lang w:bidi="ar"/>
        </w:rPr>
        <w:t>（三）资金使用管理。</w:t>
      </w:r>
      <w:r>
        <w:rPr>
          <w:rFonts w:hint="eastAsia"/>
          <w:color w:val="auto"/>
          <w:highlight w:val="none"/>
          <w:lang w:bidi="ar"/>
        </w:rPr>
        <w:t>生态修复资金的使用，必须严格执行《江西省地质环境项目管理暂行办法》、《江西省地质环境项目专项资金管理暂行办法》，严格按照规定的开支范围支出，建设单位要做好资金使用管理，实行专款专用，专管专用，单独核算，县级以上自然资源管理部门集体讨论，严格审批，规范财务手续，明细每一笔款项的使用状态和使用途径，保障每一笔资金的正确使用。</w:t>
      </w:r>
    </w:p>
    <w:p>
      <w:pPr>
        <w:pStyle w:val="2"/>
        <w:keepNext w:val="0"/>
        <w:keepLines w:val="0"/>
        <w:pageBreakBefore w:val="0"/>
        <w:widowControl w:val="0"/>
        <w:kinsoku/>
        <w:wordWrap/>
        <w:overflowPunct w:val="0"/>
        <w:topLinePunct w:val="0"/>
        <w:autoSpaceDE/>
        <w:autoSpaceDN/>
        <w:bidi w:val="0"/>
        <w:adjustRightInd w:val="0"/>
        <w:snapToGrid w:val="0"/>
        <w:spacing w:line="240" w:lineRule="atLeast"/>
        <w:textAlignment w:val="auto"/>
        <w:rPr>
          <w:rFonts w:hint="eastAsia"/>
          <w:color w:val="auto"/>
          <w:highlight w:val="none"/>
          <w:lang w:bidi="ar"/>
        </w:rPr>
      </w:pPr>
    </w:p>
    <w:p>
      <w:pPr>
        <w:pStyle w:val="2"/>
        <w:keepNext w:val="0"/>
        <w:keepLines w:val="0"/>
        <w:pageBreakBefore w:val="0"/>
        <w:widowControl w:val="0"/>
        <w:kinsoku/>
        <w:wordWrap/>
        <w:overflowPunct w:val="0"/>
        <w:topLinePunct w:val="0"/>
        <w:autoSpaceDE/>
        <w:autoSpaceDN/>
        <w:bidi w:val="0"/>
        <w:adjustRightInd w:val="0"/>
        <w:snapToGrid w:val="0"/>
        <w:spacing w:line="240" w:lineRule="atLeast"/>
        <w:textAlignment w:val="auto"/>
        <w:rPr>
          <w:rFonts w:hint="eastAsia"/>
          <w:color w:val="auto"/>
          <w:highlight w:val="none"/>
          <w:lang w:bidi="ar"/>
        </w:rPr>
      </w:pPr>
    </w:p>
    <w:p>
      <w:pPr>
        <w:pStyle w:val="2"/>
        <w:keepNext w:val="0"/>
        <w:keepLines w:val="0"/>
        <w:pageBreakBefore w:val="0"/>
        <w:widowControl w:val="0"/>
        <w:kinsoku/>
        <w:wordWrap/>
        <w:overflowPunct w:val="0"/>
        <w:topLinePunct w:val="0"/>
        <w:autoSpaceDE/>
        <w:autoSpaceDN/>
        <w:bidi w:val="0"/>
        <w:adjustRightInd w:val="0"/>
        <w:snapToGrid w:val="0"/>
        <w:spacing w:line="240" w:lineRule="atLeast"/>
        <w:textAlignment w:val="auto"/>
        <w:rPr>
          <w:rFonts w:hint="eastAsia"/>
          <w:color w:val="auto"/>
          <w:highlight w:val="none"/>
          <w:lang w:bidi="ar"/>
        </w:rPr>
        <w:sectPr>
          <w:footerReference r:id="rId12" w:type="default"/>
          <w:pgSz w:w="11906" w:h="16838"/>
          <w:pgMar w:top="1440" w:right="1800" w:bottom="1440" w:left="1800" w:header="851" w:footer="567" w:gutter="0"/>
          <w:cols w:space="0" w:num="1"/>
          <w:docGrid w:linePitch="435" w:charSpace="0"/>
        </w:sectPr>
      </w:pPr>
    </w:p>
    <w:p>
      <w:pPr>
        <w:pStyle w:val="10"/>
        <w:keepNext w:val="0"/>
        <w:keepLines w:val="0"/>
        <w:pageBreakBefore w:val="0"/>
        <w:widowControl w:val="0"/>
        <w:shd w:val="clear"/>
        <w:kinsoku/>
        <w:wordWrap/>
        <w:overflowPunct/>
        <w:topLinePunct w:val="0"/>
        <w:autoSpaceDE/>
        <w:autoSpaceDN/>
        <w:bidi w:val="0"/>
        <w:adjustRightInd/>
        <w:snapToGrid/>
        <w:spacing w:after="0" w:line="288" w:lineRule="auto"/>
        <w:ind w:left="0" w:right="0" w:firstLine="643" w:firstLineChars="200"/>
        <w:jc w:val="both"/>
        <w:textAlignment w:val="auto"/>
        <w:outlineLvl w:val="0"/>
        <w:rPr>
          <w:rFonts w:hint="eastAsia" w:ascii="楷体" w:hAnsi="楷体" w:eastAsia="楷体" w:cs="楷体"/>
          <w:b/>
          <w:bCs/>
          <w:color w:val="auto"/>
          <w:spacing w:val="0"/>
          <w:sz w:val="32"/>
          <w:highlight w:val="none"/>
          <w:lang w:val="en-US" w:eastAsia="zh-CN"/>
        </w:rPr>
      </w:pPr>
      <w:bookmarkStart w:id="89" w:name="_Toc29298"/>
      <w:bookmarkStart w:id="90" w:name="_Toc5894"/>
      <w:bookmarkStart w:id="91" w:name="_Toc17201"/>
      <w:bookmarkStart w:id="92" w:name="_Toc18147"/>
      <w:r>
        <w:rPr>
          <w:rFonts w:hint="eastAsia" w:ascii="楷体" w:hAnsi="楷体" w:eastAsia="楷体" w:cs="楷体"/>
          <w:b/>
          <w:bCs/>
          <w:color w:val="auto"/>
          <w:spacing w:val="0"/>
          <w:sz w:val="32"/>
          <w:highlight w:val="none"/>
          <w:lang w:val="en-US" w:eastAsia="zh-CN"/>
        </w:rPr>
        <w:t>附表              龙南市“十四五”国土空间生态修复重大工程项目清单</w:t>
      </w:r>
      <w:bookmarkEnd w:id="89"/>
      <w:bookmarkEnd w:id="90"/>
      <w:bookmarkEnd w:id="91"/>
      <w:bookmarkEnd w:id="92"/>
    </w:p>
    <w:tbl>
      <w:tblPr>
        <w:tblStyle w:val="22"/>
        <w:tblW w:w="13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00"/>
        <w:gridCol w:w="639"/>
        <w:gridCol w:w="3261"/>
        <w:gridCol w:w="834"/>
        <w:gridCol w:w="1551"/>
        <w:gridCol w:w="783"/>
        <w:gridCol w:w="4901"/>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90" w:hRule="atLeast"/>
        </w:trPr>
        <w:tc>
          <w:tcPr>
            <w:tcW w:w="1000"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重大工程</w:t>
            </w:r>
          </w:p>
        </w:tc>
        <w:tc>
          <w:tcPr>
            <w:tcW w:w="63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项目序号</w:t>
            </w:r>
          </w:p>
        </w:tc>
        <w:tc>
          <w:tcPr>
            <w:tcW w:w="326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项目名称</w:t>
            </w:r>
          </w:p>
        </w:tc>
        <w:tc>
          <w:tcPr>
            <w:tcW w:w="834"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项目单位</w:t>
            </w:r>
          </w:p>
        </w:tc>
        <w:tc>
          <w:tcPr>
            <w:tcW w:w="155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建设地点</w:t>
            </w:r>
          </w:p>
        </w:tc>
        <w:tc>
          <w:tcPr>
            <w:tcW w:w="783"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完成时间</w:t>
            </w:r>
          </w:p>
        </w:tc>
        <w:tc>
          <w:tcPr>
            <w:tcW w:w="490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主要建设内容及规模</w:t>
            </w: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总投资（亿元）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6" w:hRule="atLeast"/>
        </w:trPr>
        <w:tc>
          <w:tcPr>
            <w:tcW w:w="1639" w:type="dxa"/>
            <w:gridSpan w:val="2"/>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合计</w:t>
            </w:r>
          </w:p>
        </w:tc>
        <w:tc>
          <w:tcPr>
            <w:tcW w:w="326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834"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155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783"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490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20.508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91" w:hRule="atLeast"/>
        </w:trPr>
        <w:tc>
          <w:tcPr>
            <w:tcW w:w="1000" w:type="dxa"/>
            <w:vMerge w:val="restart"/>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一、矿山生态环境综合治理工程</w:t>
            </w:r>
          </w:p>
        </w:tc>
        <w:tc>
          <w:tcPr>
            <w:tcW w:w="63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26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34"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55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783"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490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900" w:hRule="atLeast"/>
        </w:trPr>
        <w:tc>
          <w:tcPr>
            <w:tcW w:w="1000"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326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龙南市废弃露天矿山环境治理项目</w:t>
            </w:r>
          </w:p>
        </w:tc>
        <w:tc>
          <w:tcPr>
            <w:tcW w:w="834"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自然资源局</w:t>
            </w:r>
          </w:p>
        </w:tc>
        <w:tc>
          <w:tcPr>
            <w:tcW w:w="155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龙南镇、里仁镇、杨村镇、武当乡、南亨乡</w:t>
            </w:r>
          </w:p>
        </w:tc>
        <w:tc>
          <w:tcPr>
            <w:tcW w:w="783"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完成历史遗留矿山生态修复治理24处，治理面积66.44公顷。主要任务为：1）矿山地质灾害治理；2）矿区土地复垦；3）矿区植被恢复。</w:t>
            </w: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75" w:hRule="atLeast"/>
        </w:trPr>
        <w:tc>
          <w:tcPr>
            <w:tcW w:w="1000"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326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龙南市采煤沉陷区综合治理项目</w:t>
            </w:r>
          </w:p>
        </w:tc>
        <w:tc>
          <w:tcPr>
            <w:tcW w:w="834"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自然资源局</w:t>
            </w:r>
          </w:p>
        </w:tc>
        <w:tc>
          <w:tcPr>
            <w:tcW w:w="155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龙南镇、东江乡、临塘乡、汶龙镇</w:t>
            </w:r>
          </w:p>
        </w:tc>
        <w:tc>
          <w:tcPr>
            <w:tcW w:w="783"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完成龙南市采煤沉陷区生态修复和环境整治，治理面积约</w:t>
            </w:r>
            <w:r>
              <w:rPr>
                <w:rFonts w:hint="eastAsia" w:ascii="Times New Roman" w:hAnsi="Times New Roman" w:eastAsia="宋体" w:cs="Times New Roman"/>
                <w:i w:val="0"/>
                <w:color w:val="auto"/>
                <w:kern w:val="0"/>
                <w:sz w:val="21"/>
                <w:szCs w:val="21"/>
                <w:highlight w:val="none"/>
                <w:u w:val="none"/>
                <w:lang w:val="en-US" w:eastAsia="zh-CN" w:bidi="ar"/>
              </w:rPr>
              <w:t>2865</w:t>
            </w:r>
            <w:r>
              <w:rPr>
                <w:rFonts w:hint="default" w:ascii="Times New Roman" w:hAnsi="Times New Roman" w:eastAsia="宋体" w:cs="Times New Roman"/>
                <w:i w:val="0"/>
                <w:color w:val="auto"/>
                <w:kern w:val="0"/>
                <w:sz w:val="21"/>
                <w:szCs w:val="21"/>
                <w:highlight w:val="none"/>
                <w:u w:val="none"/>
                <w:lang w:val="en-US" w:eastAsia="zh-CN" w:bidi="ar"/>
              </w:rPr>
              <w:t>亩</w:t>
            </w:r>
            <w:r>
              <w:rPr>
                <w:rFonts w:hint="eastAsia" w:ascii="Times New Roman" w:hAnsi="Times New Roman" w:eastAsia="宋体" w:cs="Times New Roman"/>
                <w:i w:val="0"/>
                <w:color w:val="auto"/>
                <w:kern w:val="0"/>
                <w:sz w:val="21"/>
                <w:szCs w:val="21"/>
                <w:highlight w:val="none"/>
                <w:u w:val="none"/>
                <w:lang w:val="en-US" w:eastAsia="zh-CN" w:bidi="ar"/>
              </w:rPr>
              <w:t>，其中重点沉陷区治理面积约1500亩</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90" w:hRule="atLeast"/>
        </w:trPr>
        <w:tc>
          <w:tcPr>
            <w:tcW w:w="1000" w:type="dxa"/>
            <w:vMerge w:val="restart"/>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二、水土保持综合治理工程</w:t>
            </w:r>
          </w:p>
        </w:tc>
        <w:tc>
          <w:tcPr>
            <w:tcW w:w="63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26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34"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55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783"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490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0" w:hRule="atLeast"/>
        </w:trPr>
        <w:tc>
          <w:tcPr>
            <w:tcW w:w="1000"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326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国家水土保持重点工程项目</w:t>
            </w:r>
          </w:p>
        </w:tc>
        <w:tc>
          <w:tcPr>
            <w:tcW w:w="834"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水利局</w:t>
            </w:r>
          </w:p>
        </w:tc>
        <w:tc>
          <w:tcPr>
            <w:tcW w:w="155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龙南市全域</w:t>
            </w:r>
          </w:p>
        </w:tc>
        <w:tc>
          <w:tcPr>
            <w:tcW w:w="783"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治理杨村崩岗3160座、崩岗侵蚀面积842.4公顷，完成市域内水土流失治理面积70平方千米，水土保持率提高到</w:t>
            </w:r>
            <w:r>
              <w:rPr>
                <w:rFonts w:hint="eastAsia" w:eastAsia="宋体" w:cs="Times New Roman"/>
                <w:i w:val="0"/>
                <w:color w:val="auto"/>
                <w:kern w:val="0"/>
                <w:sz w:val="21"/>
                <w:szCs w:val="21"/>
                <w:highlight w:val="none"/>
                <w:u w:val="none"/>
                <w:lang w:val="en-US" w:eastAsia="zh-CN" w:bidi="ar"/>
              </w:rPr>
              <w:t>84.12</w:t>
            </w:r>
            <w:r>
              <w:rPr>
                <w:rFonts w:hint="default" w:ascii="Times New Roman" w:hAnsi="Times New Roman" w:eastAsia="宋体" w:cs="Times New Roman"/>
                <w:i w:val="0"/>
                <w:color w:val="auto"/>
                <w:kern w:val="0"/>
                <w:sz w:val="21"/>
                <w:szCs w:val="21"/>
                <w:highlight w:val="none"/>
                <w:u w:val="none"/>
                <w:lang w:val="en-US" w:eastAsia="zh-CN" w:bidi="ar"/>
              </w:rPr>
              <w:t>%以上。</w:t>
            </w: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1" w:hRule="atLeast"/>
        </w:trPr>
        <w:tc>
          <w:tcPr>
            <w:tcW w:w="1000" w:type="dxa"/>
            <w:vMerge w:val="restart"/>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三、森林质量提升及生物多样性保护生态廊道建设工程</w:t>
            </w:r>
          </w:p>
        </w:tc>
        <w:tc>
          <w:tcPr>
            <w:tcW w:w="63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26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834"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55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783"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4901"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9.018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0" w:hRule="atLeast"/>
        </w:trPr>
        <w:tc>
          <w:tcPr>
            <w:tcW w:w="1000"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326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低质低效林改造项目</w:t>
            </w:r>
          </w:p>
        </w:tc>
        <w:tc>
          <w:tcPr>
            <w:tcW w:w="834"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55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龙南市全域</w:t>
            </w:r>
          </w:p>
        </w:tc>
        <w:tc>
          <w:tcPr>
            <w:tcW w:w="783"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改造低质低效林14万亩，其中：更替改造1.0万亩；补植改造1.5万亩；抚育改造5.45万亩；封育改造6.05万亩。</w:t>
            </w: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5" w:hRule="atLeast"/>
        </w:trPr>
        <w:tc>
          <w:tcPr>
            <w:tcW w:w="1000"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326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赣南区域国土绿化试点示范项目</w:t>
            </w:r>
          </w:p>
        </w:tc>
        <w:tc>
          <w:tcPr>
            <w:tcW w:w="834"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55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临塘乡、里仁镇、安基山林场</w:t>
            </w:r>
          </w:p>
        </w:tc>
        <w:tc>
          <w:tcPr>
            <w:tcW w:w="783"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完成营造林建设任务0.75万亩。</w:t>
            </w: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5" w:hRule="atLeast"/>
        </w:trPr>
        <w:tc>
          <w:tcPr>
            <w:tcW w:w="1000"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3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326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南岭-九连山山脉森林质量提升及生物多样性保护生态廊道建设项目</w:t>
            </w:r>
          </w:p>
        </w:tc>
        <w:tc>
          <w:tcPr>
            <w:tcW w:w="834"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55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南部地区</w:t>
            </w:r>
          </w:p>
        </w:tc>
        <w:tc>
          <w:tcPr>
            <w:tcW w:w="783"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490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廊道连通南岭九连山山脉，涉及龙南市南部地区，连通国家级自然保护区1个、国家级森林公园5个、省级森林公园4个、省级湿地公园1个。规划新增封山育林面积6.05万亩；退化林修复6.95万亩；造林1万亩。</w:t>
            </w:r>
          </w:p>
        </w:tc>
        <w:tc>
          <w:tcPr>
            <w:tcW w:w="89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7.577</w:t>
            </w:r>
          </w:p>
        </w:tc>
      </w:tr>
    </w:tbl>
    <w:p>
      <w:pPr>
        <w:pStyle w:val="2"/>
        <w:keepNext w:val="0"/>
        <w:keepLines w:val="0"/>
        <w:pageBreakBefore w:val="0"/>
        <w:widowControl w:val="0"/>
        <w:kinsoku/>
        <w:wordWrap/>
        <w:overflowPunct w:val="0"/>
        <w:topLinePunct w:val="0"/>
        <w:autoSpaceDE/>
        <w:autoSpaceDN/>
        <w:bidi w:val="0"/>
        <w:adjustRightInd w:val="0"/>
        <w:snapToGrid w:val="0"/>
        <w:spacing w:line="120" w:lineRule="exact"/>
        <w:ind w:firstLine="0" w:firstLineChars="0"/>
        <w:jc w:val="left"/>
        <w:textAlignment w:val="auto"/>
        <w:rPr>
          <w:rFonts w:hint="eastAsia"/>
          <w:color w:val="auto"/>
          <w:highlight w:val="none"/>
          <w:lang w:bidi="ar"/>
        </w:rPr>
      </w:pPr>
    </w:p>
    <w:p>
      <w:pPr>
        <w:pStyle w:val="2"/>
        <w:keepNext w:val="0"/>
        <w:keepLines w:val="0"/>
        <w:pageBreakBefore w:val="0"/>
        <w:widowControl w:val="0"/>
        <w:kinsoku/>
        <w:wordWrap/>
        <w:overflowPunct w:val="0"/>
        <w:topLinePunct w:val="0"/>
        <w:autoSpaceDE/>
        <w:autoSpaceDN/>
        <w:bidi w:val="0"/>
        <w:adjustRightInd w:val="0"/>
        <w:snapToGrid w:val="0"/>
        <w:spacing w:line="120" w:lineRule="exact"/>
        <w:ind w:firstLine="0" w:firstLineChars="0"/>
        <w:jc w:val="left"/>
        <w:textAlignment w:val="auto"/>
        <w:rPr>
          <w:rFonts w:hint="eastAsia"/>
          <w:color w:val="auto"/>
          <w:highlight w:val="none"/>
          <w:lang w:bidi="ar"/>
        </w:rPr>
        <w:sectPr>
          <w:pgSz w:w="16838" w:h="11906" w:orient="landscape"/>
          <w:pgMar w:top="1803" w:right="1440" w:bottom="1803" w:left="1440" w:header="851" w:footer="567" w:gutter="0"/>
          <w:cols w:space="0" w:num="1"/>
          <w:rtlGutter w:val="0"/>
          <w:docGrid w:linePitch="435" w:charSpace="0"/>
        </w:sectPr>
      </w:pPr>
    </w:p>
    <w:p>
      <w:pPr>
        <w:pStyle w:val="4"/>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rPr>
      </w:pPr>
      <w:bookmarkStart w:id="93" w:name="_Toc29779"/>
      <w:bookmarkStart w:id="94" w:name="_Toc23927"/>
      <w:r>
        <w:rPr>
          <w:rFonts w:hint="eastAsia"/>
          <w:color w:val="auto"/>
          <w:highlight w:val="none"/>
        </w:rPr>
        <w:t>附图</w:t>
      </w:r>
      <w:bookmarkEnd w:id="93"/>
      <w:bookmarkEnd w:id="94"/>
    </w:p>
    <w:p>
      <w:pPr>
        <w:pStyle w:val="5"/>
        <w:spacing w:line="240" w:lineRule="auto"/>
        <w:rPr>
          <w:color w:val="auto"/>
          <w:sz w:val="32"/>
          <w:szCs w:val="32"/>
          <w:highlight w:val="none"/>
          <w:lang w:bidi="ar"/>
        </w:rPr>
      </w:pPr>
      <w:bookmarkStart w:id="95" w:name="_Toc23677"/>
      <w:bookmarkStart w:id="96" w:name="_Toc24627"/>
      <w:r>
        <w:rPr>
          <w:rFonts w:hint="eastAsia"/>
          <w:color w:val="auto"/>
          <w:sz w:val="32"/>
          <w:szCs w:val="32"/>
          <w:highlight w:val="none"/>
          <w:lang w:bidi="ar"/>
        </w:rPr>
        <w:t>附图1</w:t>
      </w:r>
      <w:r>
        <w:rPr>
          <w:rFonts w:hint="eastAsia"/>
          <w:color w:val="auto"/>
          <w:sz w:val="32"/>
          <w:szCs w:val="32"/>
          <w:highlight w:val="none"/>
          <w:lang w:val="en-US" w:eastAsia="zh-CN" w:bidi="ar"/>
        </w:rPr>
        <w:t xml:space="preserve">  </w:t>
      </w:r>
      <w:r>
        <w:rPr>
          <w:rFonts w:hint="eastAsia"/>
          <w:color w:val="auto"/>
          <w:sz w:val="32"/>
          <w:szCs w:val="32"/>
          <w:highlight w:val="none"/>
          <w:lang w:bidi="ar"/>
        </w:rPr>
        <w:t>龙南市</w:t>
      </w:r>
      <w:r>
        <w:rPr>
          <w:rFonts w:hint="eastAsia"/>
          <w:color w:val="auto"/>
          <w:sz w:val="32"/>
          <w:szCs w:val="32"/>
          <w:highlight w:val="none"/>
          <w:lang w:val="en-US" w:eastAsia="zh-CN" w:bidi="ar"/>
        </w:rPr>
        <w:t>地理位置</w:t>
      </w:r>
      <w:r>
        <w:rPr>
          <w:rFonts w:hint="eastAsia"/>
          <w:color w:val="auto"/>
          <w:sz w:val="32"/>
          <w:szCs w:val="32"/>
          <w:highlight w:val="none"/>
          <w:lang w:bidi="ar"/>
        </w:rPr>
        <w:t>图</w:t>
      </w:r>
      <w:bookmarkEnd w:id="95"/>
      <w:bookmarkEnd w:id="96"/>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61840"/>
            <wp:effectExtent l="0" t="0" r="6985" b="10160"/>
            <wp:docPr id="6" name="图片 6" descr="龙南市地理位置图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龙南市地理位置图OK"/>
                    <pic:cNvPicPr>
                      <a:picLocks noChangeAspect="1"/>
                    </pic:cNvPicPr>
                  </pic:nvPicPr>
                  <pic:blipFill>
                    <a:blip r:embed="rId16"/>
                    <a:stretch>
                      <a:fillRect/>
                    </a:stretch>
                  </pic:blipFill>
                  <pic:spPr>
                    <a:xfrm>
                      <a:off x="0" y="0"/>
                      <a:ext cx="5669915" cy="456184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97" w:name="_Toc28425"/>
      <w:bookmarkStart w:id="98" w:name="_Toc29565"/>
      <w:r>
        <w:rPr>
          <w:rFonts w:hint="eastAsia"/>
          <w:color w:val="auto"/>
          <w:sz w:val="32"/>
          <w:szCs w:val="32"/>
          <w:highlight w:val="none"/>
          <w:lang w:bidi="ar"/>
        </w:rPr>
        <w:t>附图</w:t>
      </w:r>
      <w:r>
        <w:rPr>
          <w:rFonts w:hint="eastAsia"/>
          <w:color w:val="auto"/>
          <w:sz w:val="32"/>
          <w:szCs w:val="32"/>
          <w:highlight w:val="none"/>
          <w:lang w:val="en-US" w:eastAsia="zh-CN" w:bidi="ar"/>
        </w:rPr>
        <w:t xml:space="preserve">2  </w:t>
      </w:r>
      <w:r>
        <w:rPr>
          <w:rFonts w:hint="eastAsia"/>
          <w:color w:val="auto"/>
          <w:sz w:val="32"/>
          <w:szCs w:val="32"/>
          <w:highlight w:val="none"/>
          <w:lang w:bidi="ar"/>
        </w:rPr>
        <w:t>龙南市</w:t>
      </w:r>
      <w:r>
        <w:rPr>
          <w:rFonts w:hint="eastAsia"/>
          <w:color w:val="auto"/>
          <w:sz w:val="32"/>
          <w:szCs w:val="32"/>
          <w:highlight w:val="none"/>
          <w:lang w:val="en-US" w:eastAsia="zh-CN" w:bidi="ar"/>
        </w:rPr>
        <w:t>自然地理格局</w:t>
      </w:r>
      <w:r>
        <w:rPr>
          <w:rFonts w:hint="eastAsia"/>
          <w:color w:val="auto"/>
          <w:sz w:val="32"/>
          <w:szCs w:val="32"/>
          <w:highlight w:val="none"/>
          <w:lang w:bidi="ar"/>
        </w:rPr>
        <w:t>图</w:t>
      </w:r>
      <w:bookmarkEnd w:id="97"/>
      <w:bookmarkEnd w:id="98"/>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07230"/>
            <wp:effectExtent l="0" t="0" r="6985" b="7620"/>
            <wp:docPr id="9" name="图片 9" descr="龙南市自然地理格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龙南市自然地理格局图"/>
                    <pic:cNvPicPr>
                      <a:picLocks noChangeAspect="1"/>
                    </pic:cNvPicPr>
                  </pic:nvPicPr>
                  <pic:blipFill>
                    <a:blip r:embed="rId17"/>
                    <a:srcRect l="1629" t="2303" r="13753" b="2559"/>
                    <a:stretch>
                      <a:fillRect/>
                    </a:stretch>
                  </pic:blipFill>
                  <pic:spPr>
                    <a:xfrm>
                      <a:off x="0" y="0"/>
                      <a:ext cx="5669915" cy="450723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99" w:name="_Toc32285"/>
      <w:bookmarkStart w:id="100" w:name="_Toc4335"/>
      <w:r>
        <w:rPr>
          <w:rFonts w:hint="eastAsia"/>
          <w:color w:val="auto"/>
          <w:sz w:val="32"/>
          <w:szCs w:val="32"/>
          <w:highlight w:val="none"/>
          <w:lang w:bidi="ar"/>
        </w:rPr>
        <w:t>附图</w:t>
      </w:r>
      <w:r>
        <w:rPr>
          <w:rFonts w:hint="eastAsia"/>
          <w:color w:val="auto"/>
          <w:sz w:val="32"/>
          <w:szCs w:val="32"/>
          <w:highlight w:val="none"/>
          <w:lang w:val="en-US" w:eastAsia="zh-CN" w:bidi="ar"/>
        </w:rPr>
        <w:t xml:space="preserve">3  </w:t>
      </w:r>
      <w:r>
        <w:rPr>
          <w:rFonts w:hint="eastAsia"/>
          <w:color w:val="auto"/>
          <w:sz w:val="32"/>
          <w:szCs w:val="32"/>
          <w:highlight w:val="none"/>
          <w:lang w:bidi="ar"/>
        </w:rPr>
        <w:t>龙南市</w:t>
      </w:r>
      <w:r>
        <w:rPr>
          <w:rFonts w:hint="eastAsia"/>
          <w:color w:val="auto"/>
          <w:sz w:val="32"/>
          <w:szCs w:val="32"/>
          <w:highlight w:val="none"/>
          <w:lang w:val="en-US" w:eastAsia="zh-CN" w:bidi="ar"/>
        </w:rPr>
        <w:t>小流域分布</w:t>
      </w:r>
      <w:r>
        <w:rPr>
          <w:rFonts w:hint="eastAsia"/>
          <w:color w:val="auto"/>
          <w:sz w:val="32"/>
          <w:szCs w:val="32"/>
          <w:highlight w:val="none"/>
          <w:lang w:bidi="ar"/>
        </w:rPr>
        <w:t>图</w:t>
      </w:r>
      <w:bookmarkEnd w:id="99"/>
      <w:bookmarkEnd w:id="100"/>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17390"/>
            <wp:effectExtent l="0" t="0" r="6985" b="16510"/>
            <wp:docPr id="14" name="图片 14" descr="龙南市小流域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龙南市小流域分布图"/>
                    <pic:cNvPicPr>
                      <a:picLocks noChangeAspect="1"/>
                    </pic:cNvPicPr>
                  </pic:nvPicPr>
                  <pic:blipFill>
                    <a:blip r:embed="rId18"/>
                    <a:srcRect l="1629" t="2303" r="13934" b="2559"/>
                    <a:stretch>
                      <a:fillRect/>
                    </a:stretch>
                  </pic:blipFill>
                  <pic:spPr>
                    <a:xfrm>
                      <a:off x="0" y="0"/>
                      <a:ext cx="5669915" cy="451739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1" w:name="_Toc24181"/>
      <w:bookmarkStart w:id="102" w:name="_Toc23564"/>
      <w:r>
        <w:rPr>
          <w:rFonts w:hint="eastAsia"/>
          <w:color w:val="auto"/>
          <w:sz w:val="32"/>
          <w:szCs w:val="32"/>
          <w:highlight w:val="none"/>
          <w:lang w:bidi="ar"/>
        </w:rPr>
        <w:t>附图</w:t>
      </w:r>
      <w:r>
        <w:rPr>
          <w:rFonts w:hint="eastAsia"/>
          <w:color w:val="auto"/>
          <w:sz w:val="32"/>
          <w:szCs w:val="32"/>
          <w:highlight w:val="none"/>
          <w:lang w:val="en-US" w:eastAsia="zh-CN" w:bidi="ar"/>
        </w:rPr>
        <w:t xml:space="preserve">4  </w:t>
      </w:r>
      <w:r>
        <w:rPr>
          <w:rFonts w:hint="eastAsia"/>
          <w:color w:val="auto"/>
          <w:sz w:val="32"/>
          <w:szCs w:val="32"/>
          <w:highlight w:val="none"/>
          <w:lang w:bidi="ar"/>
        </w:rPr>
        <w:t>龙南市</w:t>
      </w:r>
      <w:r>
        <w:rPr>
          <w:rFonts w:hint="eastAsia"/>
          <w:color w:val="auto"/>
          <w:sz w:val="32"/>
          <w:szCs w:val="32"/>
          <w:highlight w:val="none"/>
          <w:lang w:val="en-US" w:eastAsia="zh-CN" w:bidi="ar"/>
        </w:rPr>
        <w:t>交通干线网络</w:t>
      </w:r>
      <w:r>
        <w:rPr>
          <w:rFonts w:hint="eastAsia"/>
          <w:color w:val="auto"/>
          <w:sz w:val="32"/>
          <w:szCs w:val="32"/>
          <w:highlight w:val="none"/>
          <w:lang w:bidi="ar"/>
        </w:rPr>
        <w:t>图</w:t>
      </w:r>
      <w:bookmarkEnd w:id="101"/>
      <w:bookmarkEnd w:id="102"/>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15" name="图片 15" descr="龙南市交通干道网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龙南市交通干道网络图"/>
                    <pic:cNvPicPr>
                      <a:picLocks noChangeAspect="1"/>
                    </pic:cNvPicPr>
                  </pic:nvPicPr>
                  <pic:blipFill>
                    <a:blip r:embed="rId19"/>
                    <a:srcRect l="1629" t="2303" r="13934" b="2303"/>
                    <a:stretch>
                      <a:fillRect/>
                    </a:stretch>
                  </pic:blipFill>
                  <pic:spPr>
                    <a:xfrm>
                      <a:off x="0" y="0"/>
                      <a:ext cx="5669915" cy="452945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3" w:name="_Toc9964"/>
      <w:bookmarkStart w:id="104" w:name="_Toc23744"/>
      <w:r>
        <w:rPr>
          <w:rFonts w:hint="eastAsia"/>
          <w:color w:val="auto"/>
          <w:sz w:val="32"/>
          <w:szCs w:val="32"/>
          <w:highlight w:val="none"/>
          <w:lang w:bidi="ar"/>
        </w:rPr>
        <w:t>附图</w:t>
      </w:r>
      <w:r>
        <w:rPr>
          <w:rFonts w:hint="eastAsia"/>
          <w:color w:val="auto"/>
          <w:sz w:val="32"/>
          <w:szCs w:val="32"/>
          <w:highlight w:val="none"/>
          <w:lang w:val="en-US" w:eastAsia="zh-CN" w:bidi="ar"/>
        </w:rPr>
        <w:t xml:space="preserve">5  </w:t>
      </w:r>
      <w:r>
        <w:rPr>
          <w:rFonts w:hint="eastAsia"/>
          <w:color w:val="auto"/>
          <w:sz w:val="32"/>
          <w:szCs w:val="32"/>
          <w:highlight w:val="none"/>
          <w:lang w:bidi="ar"/>
        </w:rPr>
        <w:t>龙南市</w:t>
      </w:r>
      <w:r>
        <w:rPr>
          <w:rFonts w:hint="eastAsia"/>
          <w:color w:val="auto"/>
          <w:sz w:val="32"/>
          <w:szCs w:val="32"/>
          <w:highlight w:val="none"/>
          <w:lang w:val="en-US" w:eastAsia="zh-CN" w:bidi="ar"/>
        </w:rPr>
        <w:t>自然保护地分布</w:t>
      </w:r>
      <w:r>
        <w:rPr>
          <w:rFonts w:hint="eastAsia"/>
          <w:color w:val="auto"/>
          <w:sz w:val="32"/>
          <w:szCs w:val="32"/>
          <w:highlight w:val="none"/>
          <w:lang w:bidi="ar"/>
        </w:rPr>
        <w:t>图</w:t>
      </w:r>
      <w:bookmarkEnd w:id="103"/>
      <w:bookmarkEnd w:id="104"/>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492625"/>
            <wp:effectExtent l="0" t="0" r="6985" b="3175"/>
            <wp:docPr id="16" name="图片 16" descr="龙南市自然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龙南市自然然保护地分布图"/>
                    <pic:cNvPicPr>
                      <a:picLocks noChangeAspect="1"/>
                    </pic:cNvPicPr>
                  </pic:nvPicPr>
                  <pic:blipFill>
                    <a:blip r:embed="rId20"/>
                    <a:srcRect l="1810" t="2559" r="13753" b="2815"/>
                    <a:stretch>
                      <a:fillRect/>
                    </a:stretch>
                  </pic:blipFill>
                  <pic:spPr>
                    <a:xfrm>
                      <a:off x="0" y="0"/>
                      <a:ext cx="5669915" cy="449262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5" w:name="_Toc25590"/>
      <w:bookmarkStart w:id="106" w:name="_Toc17845"/>
      <w:r>
        <w:rPr>
          <w:rFonts w:hint="eastAsia"/>
          <w:color w:val="auto"/>
          <w:sz w:val="32"/>
          <w:szCs w:val="32"/>
          <w:highlight w:val="none"/>
          <w:lang w:bidi="ar"/>
        </w:rPr>
        <w:t>附图</w:t>
      </w:r>
      <w:r>
        <w:rPr>
          <w:rFonts w:hint="eastAsia"/>
          <w:color w:val="auto"/>
          <w:sz w:val="32"/>
          <w:szCs w:val="32"/>
          <w:highlight w:val="none"/>
          <w:lang w:val="en-US" w:eastAsia="zh-CN" w:bidi="ar"/>
        </w:rPr>
        <w:t xml:space="preserve">6  </w:t>
      </w:r>
      <w:r>
        <w:rPr>
          <w:rFonts w:hint="eastAsia"/>
          <w:color w:val="auto"/>
          <w:sz w:val="32"/>
          <w:szCs w:val="32"/>
          <w:highlight w:val="none"/>
          <w:lang w:bidi="ar"/>
        </w:rPr>
        <w:t>龙南市</w:t>
      </w:r>
      <w:r>
        <w:rPr>
          <w:rFonts w:hint="eastAsia"/>
          <w:color w:val="auto"/>
          <w:sz w:val="32"/>
          <w:szCs w:val="32"/>
          <w:highlight w:val="none"/>
          <w:lang w:val="en-US" w:eastAsia="zh-CN" w:bidi="ar"/>
        </w:rPr>
        <w:t>历史遗留矿山分布</w:t>
      </w:r>
      <w:r>
        <w:rPr>
          <w:rFonts w:hint="eastAsia"/>
          <w:color w:val="auto"/>
          <w:sz w:val="32"/>
          <w:szCs w:val="32"/>
          <w:highlight w:val="none"/>
          <w:lang w:bidi="ar"/>
        </w:rPr>
        <w:t>图</w:t>
      </w:r>
      <w:bookmarkEnd w:id="105"/>
      <w:bookmarkEnd w:id="106"/>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63110"/>
            <wp:effectExtent l="0" t="0" r="6985" b="8890"/>
            <wp:docPr id="17" name="图片 17" descr="龙南市历史遗留矿山点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龙南市历史遗留矿山点分布图"/>
                    <pic:cNvPicPr>
                      <a:picLocks noChangeAspect="1"/>
                    </pic:cNvPicPr>
                  </pic:nvPicPr>
                  <pic:blipFill>
                    <a:blip r:embed="rId21"/>
                    <a:srcRect l="1810" t="2047" r="13934" b="2047"/>
                    <a:stretch>
                      <a:fillRect/>
                    </a:stretch>
                  </pic:blipFill>
                  <pic:spPr>
                    <a:xfrm>
                      <a:off x="0" y="0"/>
                      <a:ext cx="5669915" cy="456311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7" w:name="_Toc25601"/>
      <w:bookmarkStart w:id="108" w:name="_Toc8909"/>
      <w:r>
        <w:rPr>
          <w:rFonts w:hint="eastAsia"/>
          <w:color w:val="auto"/>
          <w:sz w:val="32"/>
          <w:szCs w:val="32"/>
          <w:highlight w:val="none"/>
          <w:lang w:bidi="ar"/>
        </w:rPr>
        <w:t>附图</w:t>
      </w:r>
      <w:r>
        <w:rPr>
          <w:rFonts w:hint="eastAsia"/>
          <w:color w:val="auto"/>
          <w:sz w:val="32"/>
          <w:szCs w:val="32"/>
          <w:highlight w:val="none"/>
          <w:lang w:val="en-US" w:eastAsia="zh-CN" w:bidi="ar"/>
        </w:rPr>
        <w:t xml:space="preserve">7  </w:t>
      </w:r>
      <w:r>
        <w:rPr>
          <w:rFonts w:hint="eastAsia"/>
          <w:color w:val="auto"/>
          <w:sz w:val="32"/>
          <w:szCs w:val="32"/>
          <w:highlight w:val="none"/>
          <w:lang w:bidi="ar"/>
        </w:rPr>
        <w:t>龙南市</w:t>
      </w:r>
      <w:r>
        <w:rPr>
          <w:rFonts w:hint="eastAsia"/>
          <w:color w:val="auto"/>
          <w:sz w:val="32"/>
          <w:szCs w:val="32"/>
          <w:highlight w:val="none"/>
          <w:lang w:val="en-US" w:eastAsia="zh-CN" w:bidi="ar"/>
        </w:rPr>
        <w:t>城乡空间发展格局示意</w:t>
      </w:r>
      <w:r>
        <w:rPr>
          <w:rFonts w:hint="eastAsia"/>
          <w:color w:val="auto"/>
          <w:sz w:val="32"/>
          <w:szCs w:val="32"/>
          <w:highlight w:val="none"/>
          <w:lang w:bidi="ar"/>
        </w:rPr>
        <w:t>图</w:t>
      </w:r>
      <w:bookmarkEnd w:id="107"/>
      <w:bookmarkEnd w:id="108"/>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31995"/>
            <wp:effectExtent l="0" t="0" r="6985" b="1905"/>
            <wp:docPr id="23" name="图片 23" descr="龙南市城乡空间发展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龙南市城乡空间发展格局示意图"/>
                    <pic:cNvPicPr>
                      <a:picLocks noChangeAspect="1"/>
                    </pic:cNvPicPr>
                  </pic:nvPicPr>
                  <pic:blipFill>
                    <a:blip r:embed="rId22"/>
                    <a:srcRect l="1629" t="2047" r="13753" b="2303"/>
                    <a:stretch>
                      <a:fillRect/>
                    </a:stretch>
                  </pic:blipFill>
                  <pic:spPr>
                    <a:xfrm>
                      <a:off x="0" y="0"/>
                      <a:ext cx="5669915" cy="453199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9" w:name="_Toc3848"/>
      <w:bookmarkStart w:id="110" w:name="_Toc30751"/>
      <w:r>
        <w:rPr>
          <w:rFonts w:hint="eastAsia"/>
          <w:color w:val="auto"/>
          <w:sz w:val="32"/>
          <w:szCs w:val="32"/>
          <w:highlight w:val="none"/>
          <w:lang w:bidi="ar"/>
        </w:rPr>
        <w:t>附图</w:t>
      </w:r>
      <w:r>
        <w:rPr>
          <w:rFonts w:hint="eastAsia"/>
          <w:color w:val="auto"/>
          <w:sz w:val="32"/>
          <w:szCs w:val="32"/>
          <w:highlight w:val="none"/>
          <w:lang w:val="en-US" w:eastAsia="zh-CN" w:bidi="ar"/>
        </w:rPr>
        <w:t xml:space="preserve">8  </w:t>
      </w:r>
      <w:r>
        <w:rPr>
          <w:rFonts w:hint="eastAsia"/>
          <w:color w:val="auto"/>
          <w:sz w:val="32"/>
          <w:szCs w:val="32"/>
          <w:highlight w:val="none"/>
          <w:lang w:bidi="ar"/>
        </w:rPr>
        <w:t>龙南市</w:t>
      </w:r>
      <w:r>
        <w:rPr>
          <w:rFonts w:hint="eastAsia"/>
          <w:color w:val="auto"/>
          <w:sz w:val="32"/>
          <w:szCs w:val="32"/>
          <w:highlight w:val="none"/>
          <w:lang w:val="en-US" w:eastAsia="zh-CN" w:bidi="ar"/>
        </w:rPr>
        <w:t>生态保护重要性评价</w:t>
      </w:r>
      <w:r>
        <w:rPr>
          <w:rFonts w:hint="eastAsia"/>
          <w:color w:val="auto"/>
          <w:sz w:val="32"/>
          <w:szCs w:val="32"/>
          <w:highlight w:val="none"/>
          <w:lang w:bidi="ar"/>
        </w:rPr>
        <w:t>图</w:t>
      </w:r>
      <w:bookmarkEnd w:id="109"/>
      <w:bookmarkEnd w:id="110"/>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1520"/>
            <wp:effectExtent l="0" t="0" r="6985" b="11430"/>
            <wp:docPr id="24" name="图片 24" descr="龙南市生态保护重要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龙南市生态保护重要性评价图"/>
                    <pic:cNvPicPr>
                      <a:picLocks noChangeAspect="1"/>
                    </pic:cNvPicPr>
                  </pic:nvPicPr>
                  <pic:blipFill>
                    <a:blip r:embed="rId23"/>
                    <a:srcRect l="1629" t="2303" r="13934" b="2047"/>
                    <a:stretch>
                      <a:fillRect/>
                    </a:stretch>
                  </pic:blipFill>
                  <pic:spPr>
                    <a:xfrm>
                      <a:off x="0" y="0"/>
                      <a:ext cx="5669915" cy="454152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1" w:name="_Toc2027"/>
      <w:bookmarkStart w:id="112" w:name="_Toc10118"/>
      <w:r>
        <w:rPr>
          <w:rFonts w:hint="eastAsia"/>
          <w:color w:val="auto"/>
          <w:sz w:val="32"/>
          <w:szCs w:val="32"/>
          <w:highlight w:val="none"/>
          <w:lang w:bidi="ar"/>
        </w:rPr>
        <w:t>附图</w:t>
      </w:r>
      <w:r>
        <w:rPr>
          <w:rFonts w:hint="eastAsia"/>
          <w:color w:val="auto"/>
          <w:sz w:val="32"/>
          <w:szCs w:val="32"/>
          <w:highlight w:val="none"/>
          <w:lang w:val="en-US" w:eastAsia="zh-CN" w:bidi="ar"/>
        </w:rPr>
        <w:t xml:space="preserve">9  </w:t>
      </w:r>
      <w:r>
        <w:rPr>
          <w:rFonts w:hint="eastAsia"/>
          <w:color w:val="auto"/>
          <w:sz w:val="32"/>
          <w:szCs w:val="32"/>
          <w:highlight w:val="none"/>
          <w:lang w:bidi="ar"/>
        </w:rPr>
        <w:t>龙南市</w:t>
      </w:r>
      <w:r>
        <w:rPr>
          <w:rFonts w:hint="eastAsia"/>
          <w:color w:val="auto"/>
          <w:sz w:val="32"/>
          <w:szCs w:val="32"/>
          <w:highlight w:val="none"/>
          <w:lang w:val="en-US" w:eastAsia="zh-CN" w:bidi="ar"/>
        </w:rPr>
        <w:t>生态服务功能重要性评价</w:t>
      </w:r>
      <w:r>
        <w:rPr>
          <w:rFonts w:hint="eastAsia"/>
          <w:color w:val="auto"/>
          <w:sz w:val="32"/>
          <w:szCs w:val="32"/>
          <w:highlight w:val="none"/>
          <w:lang w:bidi="ar"/>
        </w:rPr>
        <w:t>图</w:t>
      </w:r>
      <w:bookmarkEnd w:id="111"/>
      <w:bookmarkEnd w:id="112"/>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1520"/>
            <wp:effectExtent l="0" t="0" r="6985" b="11430"/>
            <wp:docPr id="25" name="图片 25" descr="龙南市生态服务功能重要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龙南市生态服务功能重要性评价图"/>
                    <pic:cNvPicPr>
                      <a:picLocks noChangeAspect="1"/>
                    </pic:cNvPicPr>
                  </pic:nvPicPr>
                  <pic:blipFill>
                    <a:blip r:embed="rId24"/>
                    <a:srcRect l="1629" t="2047" r="13934" b="2303"/>
                    <a:stretch>
                      <a:fillRect/>
                    </a:stretch>
                  </pic:blipFill>
                  <pic:spPr>
                    <a:xfrm>
                      <a:off x="0" y="0"/>
                      <a:ext cx="5669915" cy="454152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3" w:name="_Toc27561"/>
      <w:bookmarkStart w:id="114" w:name="_Toc32011"/>
      <w:r>
        <w:rPr>
          <w:rFonts w:hint="eastAsia"/>
          <w:color w:val="auto"/>
          <w:sz w:val="32"/>
          <w:szCs w:val="32"/>
          <w:highlight w:val="none"/>
          <w:lang w:bidi="ar"/>
        </w:rPr>
        <w:t>附图</w:t>
      </w:r>
      <w:r>
        <w:rPr>
          <w:rFonts w:hint="eastAsia"/>
          <w:color w:val="auto"/>
          <w:sz w:val="32"/>
          <w:szCs w:val="32"/>
          <w:highlight w:val="none"/>
          <w:lang w:val="en-US" w:eastAsia="zh-CN" w:bidi="ar"/>
        </w:rPr>
        <w:t xml:space="preserve">10  </w:t>
      </w:r>
      <w:r>
        <w:rPr>
          <w:rFonts w:hint="eastAsia"/>
          <w:color w:val="auto"/>
          <w:sz w:val="32"/>
          <w:szCs w:val="32"/>
          <w:highlight w:val="none"/>
          <w:lang w:bidi="ar"/>
        </w:rPr>
        <w:t>龙南市</w:t>
      </w:r>
      <w:r>
        <w:rPr>
          <w:rFonts w:hint="eastAsia"/>
          <w:color w:val="auto"/>
          <w:sz w:val="32"/>
          <w:szCs w:val="32"/>
          <w:highlight w:val="none"/>
          <w:lang w:val="en-US" w:eastAsia="zh-CN" w:bidi="ar"/>
        </w:rPr>
        <w:t>生态敏感性评价</w:t>
      </w:r>
      <w:r>
        <w:rPr>
          <w:rFonts w:hint="eastAsia"/>
          <w:color w:val="auto"/>
          <w:sz w:val="32"/>
          <w:szCs w:val="32"/>
          <w:highlight w:val="none"/>
          <w:lang w:bidi="ar"/>
        </w:rPr>
        <w:t>图</w:t>
      </w:r>
      <w:bookmarkEnd w:id="113"/>
      <w:bookmarkEnd w:id="114"/>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26" name="图片 26" descr="龙南市生态敏感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龙南市生态敏感性评价图"/>
                    <pic:cNvPicPr>
                      <a:picLocks noChangeAspect="1"/>
                    </pic:cNvPicPr>
                  </pic:nvPicPr>
                  <pic:blipFill>
                    <a:blip r:embed="rId25"/>
                    <a:srcRect l="1629" t="2303" r="13934" b="2303"/>
                    <a:stretch>
                      <a:fillRect/>
                    </a:stretch>
                  </pic:blipFill>
                  <pic:spPr>
                    <a:xfrm>
                      <a:off x="0" y="0"/>
                      <a:ext cx="5669915" cy="452945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5" w:name="_Toc21824"/>
      <w:bookmarkStart w:id="116" w:name="_Toc18153"/>
      <w:r>
        <w:rPr>
          <w:rFonts w:hint="eastAsia"/>
          <w:color w:val="auto"/>
          <w:sz w:val="32"/>
          <w:szCs w:val="32"/>
          <w:highlight w:val="none"/>
          <w:lang w:bidi="ar"/>
        </w:rPr>
        <w:t>附图</w:t>
      </w:r>
      <w:r>
        <w:rPr>
          <w:rFonts w:hint="eastAsia"/>
          <w:color w:val="auto"/>
          <w:sz w:val="32"/>
          <w:szCs w:val="32"/>
          <w:highlight w:val="none"/>
          <w:lang w:val="en-US" w:eastAsia="zh-CN" w:bidi="ar"/>
        </w:rPr>
        <w:t xml:space="preserve">11  </w:t>
      </w:r>
      <w:r>
        <w:rPr>
          <w:rFonts w:hint="eastAsia"/>
          <w:color w:val="auto"/>
          <w:sz w:val="32"/>
          <w:szCs w:val="32"/>
          <w:highlight w:val="none"/>
          <w:lang w:bidi="ar"/>
        </w:rPr>
        <w:t>龙南市</w:t>
      </w:r>
      <w:r>
        <w:rPr>
          <w:rFonts w:hint="eastAsia"/>
          <w:color w:val="auto"/>
          <w:sz w:val="32"/>
          <w:szCs w:val="32"/>
          <w:highlight w:val="none"/>
          <w:lang w:val="en-US" w:eastAsia="zh-CN" w:bidi="ar"/>
        </w:rPr>
        <w:t>农业适宜性评价</w:t>
      </w:r>
      <w:r>
        <w:rPr>
          <w:rFonts w:hint="eastAsia"/>
          <w:color w:val="auto"/>
          <w:sz w:val="32"/>
          <w:szCs w:val="32"/>
          <w:highlight w:val="none"/>
          <w:lang w:bidi="ar"/>
        </w:rPr>
        <w:t>图</w:t>
      </w:r>
      <w:bookmarkEnd w:id="115"/>
      <w:bookmarkEnd w:id="116"/>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19295"/>
            <wp:effectExtent l="0" t="0" r="6985" b="14605"/>
            <wp:docPr id="27" name="图片 27" descr="龙南市农业适宜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龙南市农业适宜性评价图"/>
                    <pic:cNvPicPr>
                      <a:picLocks noChangeAspect="1"/>
                    </pic:cNvPicPr>
                  </pic:nvPicPr>
                  <pic:blipFill>
                    <a:blip r:embed="rId26"/>
                    <a:srcRect l="1629" t="2303" r="13753" b="2303"/>
                    <a:stretch>
                      <a:fillRect/>
                    </a:stretch>
                  </pic:blipFill>
                  <pic:spPr>
                    <a:xfrm>
                      <a:off x="0" y="0"/>
                      <a:ext cx="5669915" cy="451929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7" w:name="_Toc8738"/>
      <w:bookmarkStart w:id="118" w:name="_Toc24849"/>
      <w:r>
        <w:rPr>
          <w:rFonts w:hint="eastAsia"/>
          <w:color w:val="auto"/>
          <w:sz w:val="32"/>
          <w:szCs w:val="32"/>
          <w:highlight w:val="none"/>
          <w:lang w:bidi="ar"/>
        </w:rPr>
        <w:t>附图</w:t>
      </w:r>
      <w:r>
        <w:rPr>
          <w:rFonts w:hint="eastAsia"/>
          <w:color w:val="auto"/>
          <w:sz w:val="32"/>
          <w:szCs w:val="32"/>
          <w:highlight w:val="none"/>
          <w:lang w:val="en-US" w:eastAsia="zh-CN" w:bidi="ar"/>
        </w:rPr>
        <w:t xml:space="preserve">12  </w:t>
      </w:r>
      <w:r>
        <w:rPr>
          <w:rFonts w:hint="eastAsia"/>
          <w:color w:val="auto"/>
          <w:sz w:val="32"/>
          <w:szCs w:val="32"/>
          <w:highlight w:val="none"/>
          <w:lang w:bidi="ar"/>
        </w:rPr>
        <w:t>龙南市</w:t>
      </w:r>
      <w:r>
        <w:rPr>
          <w:rFonts w:hint="eastAsia"/>
          <w:color w:val="auto"/>
          <w:sz w:val="32"/>
          <w:szCs w:val="32"/>
          <w:highlight w:val="none"/>
          <w:lang w:val="en-US" w:eastAsia="zh-CN" w:bidi="ar"/>
        </w:rPr>
        <w:t>城镇适宜性评价</w:t>
      </w:r>
      <w:r>
        <w:rPr>
          <w:rFonts w:hint="eastAsia"/>
          <w:color w:val="auto"/>
          <w:sz w:val="32"/>
          <w:szCs w:val="32"/>
          <w:highlight w:val="none"/>
          <w:lang w:bidi="ar"/>
        </w:rPr>
        <w:t>图</w:t>
      </w:r>
      <w:bookmarkEnd w:id="117"/>
      <w:bookmarkEnd w:id="118"/>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53585"/>
            <wp:effectExtent l="0" t="0" r="6985" b="18415"/>
            <wp:docPr id="30" name="图片 30" descr="龙南市城镇适宜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龙南市城镇适宜性评价图"/>
                    <pic:cNvPicPr>
                      <a:picLocks noChangeAspect="1"/>
                    </pic:cNvPicPr>
                  </pic:nvPicPr>
                  <pic:blipFill>
                    <a:blip r:embed="rId27"/>
                    <a:srcRect l="1629" t="2047" r="13934" b="2047"/>
                    <a:stretch>
                      <a:fillRect/>
                    </a:stretch>
                  </pic:blipFill>
                  <pic:spPr>
                    <a:xfrm>
                      <a:off x="0" y="0"/>
                      <a:ext cx="5669915" cy="455358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9" w:name="_Toc24000"/>
      <w:bookmarkStart w:id="120" w:name="_Toc3772"/>
      <w:r>
        <w:rPr>
          <w:rFonts w:hint="eastAsia"/>
          <w:color w:val="auto"/>
          <w:sz w:val="32"/>
          <w:szCs w:val="32"/>
          <w:highlight w:val="none"/>
          <w:lang w:bidi="ar"/>
        </w:rPr>
        <w:t>附图</w:t>
      </w:r>
      <w:r>
        <w:rPr>
          <w:rFonts w:hint="eastAsia"/>
          <w:color w:val="auto"/>
          <w:sz w:val="32"/>
          <w:szCs w:val="32"/>
          <w:highlight w:val="none"/>
          <w:lang w:val="en-US" w:eastAsia="zh-CN" w:bidi="ar"/>
        </w:rPr>
        <w:t>13  国家和江西省关于</w:t>
      </w:r>
      <w:r>
        <w:rPr>
          <w:rFonts w:hint="eastAsia"/>
          <w:color w:val="auto"/>
          <w:sz w:val="32"/>
          <w:szCs w:val="32"/>
          <w:highlight w:val="none"/>
          <w:lang w:bidi="ar"/>
        </w:rPr>
        <w:t>龙南市</w:t>
      </w:r>
      <w:r>
        <w:rPr>
          <w:rFonts w:hint="eastAsia"/>
          <w:color w:val="auto"/>
          <w:sz w:val="32"/>
          <w:szCs w:val="32"/>
          <w:highlight w:val="none"/>
          <w:lang w:val="en-US" w:eastAsia="zh-CN" w:bidi="ar"/>
        </w:rPr>
        <w:t>主体功能区划</w:t>
      </w:r>
      <w:r>
        <w:rPr>
          <w:rFonts w:hint="eastAsia"/>
          <w:color w:val="auto"/>
          <w:sz w:val="32"/>
          <w:szCs w:val="32"/>
          <w:highlight w:val="none"/>
          <w:lang w:bidi="ar"/>
        </w:rPr>
        <w:t>图</w:t>
      </w:r>
      <w:bookmarkEnd w:id="119"/>
      <w:bookmarkEnd w:id="120"/>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31" name="图片 31" descr="龙南市主体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龙南市主体功能区划图"/>
                    <pic:cNvPicPr>
                      <a:picLocks noChangeAspect="1"/>
                    </pic:cNvPicPr>
                  </pic:nvPicPr>
                  <pic:blipFill>
                    <a:blip r:embed="rId28"/>
                    <a:srcRect l="1629" t="2303" r="13934" b="2303"/>
                    <a:stretch>
                      <a:fillRect/>
                    </a:stretch>
                  </pic:blipFill>
                  <pic:spPr>
                    <a:xfrm>
                      <a:off x="0" y="0"/>
                      <a:ext cx="5669915" cy="452945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21" w:name="_Toc18038"/>
      <w:bookmarkStart w:id="122" w:name="_Toc10004"/>
      <w:r>
        <w:rPr>
          <w:rFonts w:hint="eastAsia"/>
          <w:color w:val="auto"/>
          <w:sz w:val="32"/>
          <w:szCs w:val="32"/>
          <w:highlight w:val="none"/>
          <w:lang w:bidi="ar"/>
        </w:rPr>
        <w:t>附图</w:t>
      </w:r>
      <w:r>
        <w:rPr>
          <w:rFonts w:hint="eastAsia"/>
          <w:color w:val="auto"/>
          <w:sz w:val="32"/>
          <w:szCs w:val="32"/>
          <w:highlight w:val="none"/>
          <w:lang w:val="en-US" w:eastAsia="zh-CN" w:bidi="ar"/>
        </w:rPr>
        <w:t xml:space="preserve">14  </w:t>
      </w:r>
      <w:r>
        <w:rPr>
          <w:rFonts w:hint="eastAsia"/>
          <w:color w:val="auto"/>
          <w:sz w:val="32"/>
          <w:szCs w:val="32"/>
          <w:highlight w:val="none"/>
          <w:lang w:bidi="ar"/>
        </w:rPr>
        <w:t>龙南市</w:t>
      </w:r>
      <w:r>
        <w:rPr>
          <w:rFonts w:hint="eastAsia"/>
          <w:color w:val="auto"/>
          <w:sz w:val="32"/>
          <w:szCs w:val="32"/>
          <w:highlight w:val="none"/>
          <w:lang w:val="en-US" w:eastAsia="zh-CN" w:bidi="ar"/>
        </w:rPr>
        <w:t>生态安全格局示意</w:t>
      </w:r>
      <w:r>
        <w:rPr>
          <w:rFonts w:hint="eastAsia"/>
          <w:color w:val="auto"/>
          <w:sz w:val="32"/>
          <w:szCs w:val="32"/>
          <w:highlight w:val="none"/>
          <w:lang w:bidi="ar"/>
        </w:rPr>
        <w:t>图</w:t>
      </w:r>
      <w:bookmarkEnd w:id="121"/>
      <w:bookmarkEnd w:id="122"/>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4060"/>
            <wp:effectExtent l="0" t="0" r="6985" b="8890"/>
            <wp:docPr id="32" name="图片 32" descr="龙南市生态安全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龙南市生态安全格局示意图"/>
                    <pic:cNvPicPr>
                      <a:picLocks noChangeAspect="1"/>
                    </pic:cNvPicPr>
                  </pic:nvPicPr>
                  <pic:blipFill>
                    <a:blip r:embed="rId29"/>
                    <a:srcRect l="1629" t="2047" r="13753" b="2047"/>
                    <a:stretch>
                      <a:fillRect/>
                    </a:stretch>
                  </pic:blipFill>
                  <pic:spPr>
                    <a:xfrm>
                      <a:off x="0" y="0"/>
                      <a:ext cx="5669915" cy="454406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5"/>
        <w:spacing w:line="240" w:lineRule="auto"/>
        <w:jc w:val="center"/>
        <w:rPr>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23" w:name="_Toc31733"/>
      <w:bookmarkStart w:id="124" w:name="_Toc28495"/>
      <w:r>
        <w:rPr>
          <w:rFonts w:hint="eastAsia"/>
          <w:color w:val="auto"/>
          <w:sz w:val="32"/>
          <w:szCs w:val="32"/>
          <w:highlight w:val="none"/>
          <w:lang w:bidi="ar"/>
        </w:rPr>
        <w:t>附图1</w:t>
      </w:r>
      <w:r>
        <w:rPr>
          <w:rFonts w:hint="eastAsia"/>
          <w:color w:val="auto"/>
          <w:sz w:val="32"/>
          <w:szCs w:val="32"/>
          <w:highlight w:val="none"/>
          <w:lang w:val="en-US" w:eastAsia="zh-CN" w:bidi="ar"/>
        </w:rPr>
        <w:t xml:space="preserve">5  </w:t>
      </w:r>
      <w:r>
        <w:rPr>
          <w:rFonts w:hint="eastAsia"/>
          <w:color w:val="auto"/>
          <w:sz w:val="32"/>
          <w:szCs w:val="32"/>
          <w:highlight w:val="none"/>
          <w:lang w:bidi="ar"/>
        </w:rPr>
        <w:t>龙南市生态修复总体布局图</w:t>
      </w:r>
      <w:bookmarkEnd w:id="123"/>
      <w:bookmarkEnd w:id="124"/>
    </w:p>
    <w:p>
      <w:pPr>
        <w:ind w:firstLine="0" w:firstLineChars="0"/>
        <w:rPr>
          <w:rFonts w:ascii="黑体" w:hAnsi="黑体" w:eastAsia="黑体" w:cs="黑体"/>
          <w:color w:val="auto"/>
          <w:kern w:val="0"/>
          <w:sz w:val="28"/>
          <w:szCs w:val="28"/>
          <w:highlight w:val="none"/>
          <w:lang w:bidi="ar"/>
        </w:rPr>
      </w:pPr>
      <w:r>
        <w:rPr>
          <w:rFonts w:hint="eastAsia" w:ascii="黑体" w:hAnsi="黑体" w:eastAsia="黑体" w:cs="黑体"/>
          <w:color w:val="auto"/>
          <w:kern w:val="0"/>
          <w:sz w:val="28"/>
          <w:szCs w:val="28"/>
          <w:highlight w:val="none"/>
        </w:rPr>
        <w:drawing>
          <wp:inline distT="0" distB="0" distL="114300" distR="114300">
            <wp:extent cx="5668645" cy="4970145"/>
            <wp:effectExtent l="0" t="0" r="8255" b="1905"/>
            <wp:docPr id="1" name="图片 1" descr="337efdbd3db7b7414456d45b61db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37efdbd3db7b7414456d45b61db0d1"/>
                    <pic:cNvPicPr>
                      <a:picLocks noChangeAspect="1"/>
                    </pic:cNvPicPr>
                  </pic:nvPicPr>
                  <pic:blipFill>
                    <a:blip r:embed="rId30"/>
                    <a:srcRect l="2279" t="3223" r="14032" b="2731"/>
                    <a:stretch>
                      <a:fillRect/>
                    </a:stretch>
                  </pic:blipFill>
                  <pic:spPr>
                    <a:xfrm>
                      <a:off x="0" y="0"/>
                      <a:ext cx="5668645" cy="497014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ascii="黑体" w:hAnsi="黑体" w:eastAsia="黑体" w:cs="黑体"/>
          <w:color w:val="auto"/>
          <w:kern w:val="0"/>
          <w:sz w:val="28"/>
          <w:szCs w:val="28"/>
          <w:highlight w:val="none"/>
          <w:lang w:bidi="ar"/>
        </w:rPr>
      </w:pPr>
      <w:r>
        <w:rPr>
          <w:rFonts w:hint="eastAsia" w:ascii="仿宋" w:hAnsi="仿宋" w:eastAsia="仿宋" w:cs="仿宋"/>
          <w:color w:val="auto"/>
          <w:kern w:val="0"/>
          <w:sz w:val="32"/>
          <w:szCs w:val="32"/>
          <w:highlight w:val="none"/>
          <w:lang w:bidi="ar"/>
        </w:rPr>
        <w:br w:type="page"/>
      </w:r>
    </w:p>
    <w:p>
      <w:pPr>
        <w:pStyle w:val="5"/>
        <w:spacing w:line="240" w:lineRule="auto"/>
        <w:rPr>
          <w:color w:val="auto"/>
          <w:sz w:val="32"/>
          <w:szCs w:val="32"/>
          <w:highlight w:val="none"/>
          <w:lang w:bidi="ar"/>
        </w:rPr>
      </w:pPr>
      <w:bookmarkStart w:id="125" w:name="_Toc27332"/>
      <w:bookmarkStart w:id="126" w:name="_Toc24007"/>
      <w:r>
        <w:rPr>
          <w:rFonts w:hint="eastAsia"/>
          <w:color w:val="auto"/>
          <w:sz w:val="32"/>
          <w:szCs w:val="32"/>
          <w:highlight w:val="none"/>
          <w:lang w:bidi="ar"/>
        </w:rPr>
        <w:t>附图</w:t>
      </w:r>
      <w:r>
        <w:rPr>
          <w:rFonts w:hint="eastAsia"/>
          <w:color w:val="auto"/>
          <w:sz w:val="32"/>
          <w:szCs w:val="32"/>
          <w:highlight w:val="none"/>
          <w:lang w:val="en-US" w:eastAsia="zh-CN" w:bidi="ar"/>
        </w:rPr>
        <w:t xml:space="preserve">16  </w:t>
      </w:r>
      <w:r>
        <w:rPr>
          <w:rFonts w:hint="eastAsia"/>
          <w:color w:val="auto"/>
          <w:sz w:val="32"/>
          <w:szCs w:val="32"/>
          <w:highlight w:val="none"/>
          <w:lang w:bidi="ar"/>
        </w:rPr>
        <w:t>龙南市生态修复</w:t>
      </w:r>
      <w:r>
        <w:rPr>
          <w:rFonts w:hint="eastAsia"/>
          <w:color w:val="auto"/>
          <w:sz w:val="32"/>
          <w:szCs w:val="32"/>
          <w:highlight w:val="none"/>
          <w:lang w:val="en-US" w:eastAsia="zh-CN" w:bidi="ar"/>
        </w:rPr>
        <w:t>重大工程分布</w:t>
      </w:r>
      <w:r>
        <w:rPr>
          <w:rFonts w:hint="eastAsia"/>
          <w:color w:val="auto"/>
          <w:sz w:val="32"/>
          <w:szCs w:val="32"/>
          <w:highlight w:val="none"/>
          <w:lang w:bidi="ar"/>
        </w:rPr>
        <w:t>图</w:t>
      </w:r>
      <w:bookmarkEnd w:id="125"/>
      <w:bookmarkEnd w:id="126"/>
    </w:p>
    <w:p>
      <w:pPr>
        <w:ind w:firstLine="0" w:firstLineChars="0"/>
        <w:jc w:val="center"/>
        <w:rPr>
          <w:rFonts w:ascii="黑体" w:hAnsi="黑体" w:eastAsia="黑体" w:cs="黑体"/>
          <w:color w:val="auto"/>
          <w:kern w:val="0"/>
          <w:sz w:val="28"/>
          <w:szCs w:val="28"/>
          <w:highlight w:val="none"/>
          <w:lang w:bidi="ar"/>
        </w:rPr>
      </w:pPr>
      <w:r>
        <w:rPr>
          <w:rFonts w:hint="eastAsia" w:ascii="黑体" w:hAnsi="黑体" w:eastAsia="黑体" w:cs="黑体"/>
          <w:color w:val="auto"/>
          <w:kern w:val="0"/>
          <w:sz w:val="28"/>
          <w:szCs w:val="28"/>
          <w:highlight w:val="none"/>
        </w:rPr>
        <w:drawing>
          <wp:inline distT="0" distB="0" distL="114300" distR="114300">
            <wp:extent cx="5450840" cy="4851400"/>
            <wp:effectExtent l="0" t="0" r="10160" b="0"/>
            <wp:docPr id="5" name="图片 5" descr="a6aa2afeac2c8e04f280789056a9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aa2afeac2c8e04f280789056a906f"/>
                    <pic:cNvPicPr>
                      <a:picLocks noChangeAspect="1"/>
                    </pic:cNvPicPr>
                  </pic:nvPicPr>
                  <pic:blipFill>
                    <a:blip r:embed="rId31"/>
                    <a:srcRect l="2268" t="3191" r="14139" b="3208"/>
                    <a:stretch>
                      <a:fillRect/>
                    </a:stretch>
                  </pic:blipFill>
                  <pic:spPr>
                    <a:xfrm>
                      <a:off x="0" y="0"/>
                      <a:ext cx="5450840" cy="485140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32"/>
          <w:szCs w:val="32"/>
          <w:highlight w:val="none"/>
          <w:lang w:bidi="ar"/>
        </w:rPr>
      </w:pPr>
    </w:p>
    <w:p>
      <w:pPr>
        <w:pStyle w:val="2"/>
        <w:keepNext w:val="0"/>
        <w:keepLines w:val="0"/>
        <w:pageBreakBefore w:val="0"/>
        <w:widowControl w:val="0"/>
        <w:kinsoku/>
        <w:wordWrap/>
        <w:overflowPunct w:val="0"/>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32"/>
          <w:szCs w:val="32"/>
          <w:highlight w:val="none"/>
          <w:lang w:bidi="ar"/>
        </w:rPr>
      </w:pPr>
    </w:p>
    <w:p>
      <w:pPr>
        <w:pStyle w:val="2"/>
        <w:keepNext w:val="0"/>
        <w:keepLines w:val="0"/>
        <w:pageBreakBefore w:val="0"/>
        <w:widowControl w:val="0"/>
        <w:kinsoku/>
        <w:wordWrap/>
        <w:overflowPunct w:val="0"/>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32"/>
          <w:szCs w:val="32"/>
          <w:highlight w:val="none"/>
          <w:lang w:bidi="ar"/>
        </w:rPr>
      </w:pPr>
    </w:p>
    <w:sectPr>
      <w:pgSz w:w="11906" w:h="16838"/>
      <w:pgMar w:top="1440" w:right="1800" w:bottom="1440" w:left="1800" w:header="851" w:footer="567" w:gutter="0"/>
      <w:cols w:space="0" w:num="1"/>
      <w:rtlGutter w:val="0"/>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6375030"/>
      <w:docPartObj>
        <w:docPartGallery w:val="autotext"/>
      </w:docPartObj>
    </w:sdtPr>
    <w:sdtContent>
      <w:p>
        <w:pPr>
          <w:pStyle w:val="15"/>
          <w:ind w:firstLine="0" w:firstLineChars="0"/>
          <w:jc w:val="center"/>
        </w:pPr>
        <w:r>
          <w:fldChar w:fldCharType="begin"/>
        </w:r>
        <w:r>
          <w:instrText xml:space="preserve">PAGE   \* MERGEFORMAT</w:instrText>
        </w:r>
        <w:r>
          <w:fldChar w:fldCharType="separate"/>
        </w:r>
        <w:r>
          <w:rPr>
            <w:lang w:val="zh-CN"/>
          </w:rPr>
          <w:t>54</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4753823"/>
      <w:docPartObj>
        <w:docPartGallery w:val="autotext"/>
      </w:docPartObj>
    </w:sdtPr>
    <w:sdtEndPr>
      <w:rPr>
        <w:sz w:val="28"/>
        <w:szCs w:val="28"/>
      </w:rPr>
    </w:sdtEndPr>
    <w:sdtContent>
      <w:p>
        <w:pPr>
          <w:pStyle w:val="15"/>
          <w:ind w:firstLine="0" w:firstLineChars="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56</w:t>
        </w:r>
        <w:r>
          <w:rPr>
            <w:sz w:val="28"/>
            <w:szCs w:val="28"/>
          </w:rPr>
          <w:fldChar w:fldCharType="end"/>
        </w:r>
      </w:p>
    </w:sdtContent>
  </w:sdt>
  <w:p>
    <w:pPr>
      <w:pStyle w:val="15"/>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3"/>
  <w:drawingGridVerticalSpacing w:val="2"/>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yZGE1Njg5ZjNjZTZiZDhjNzAwNDY0NzczZmFkOGEifQ=="/>
  </w:docVars>
  <w:rsids>
    <w:rsidRoot w:val="00172A27"/>
    <w:rsid w:val="0001789B"/>
    <w:rsid w:val="00027F4A"/>
    <w:rsid w:val="00032AED"/>
    <w:rsid w:val="00066389"/>
    <w:rsid w:val="000767B2"/>
    <w:rsid w:val="00077C1D"/>
    <w:rsid w:val="00084972"/>
    <w:rsid w:val="00090D00"/>
    <w:rsid w:val="0009455E"/>
    <w:rsid w:val="00095683"/>
    <w:rsid w:val="000C0B4A"/>
    <w:rsid w:val="001119B8"/>
    <w:rsid w:val="00154A94"/>
    <w:rsid w:val="00156A65"/>
    <w:rsid w:val="00163128"/>
    <w:rsid w:val="001822FF"/>
    <w:rsid w:val="001C1296"/>
    <w:rsid w:val="001E4358"/>
    <w:rsid w:val="002450A3"/>
    <w:rsid w:val="00270096"/>
    <w:rsid w:val="0027184A"/>
    <w:rsid w:val="002C5C5E"/>
    <w:rsid w:val="00351FC1"/>
    <w:rsid w:val="00374C37"/>
    <w:rsid w:val="003A3531"/>
    <w:rsid w:val="003E4C39"/>
    <w:rsid w:val="003F2725"/>
    <w:rsid w:val="00400609"/>
    <w:rsid w:val="00423DAF"/>
    <w:rsid w:val="00434208"/>
    <w:rsid w:val="00453473"/>
    <w:rsid w:val="004602C1"/>
    <w:rsid w:val="004811B7"/>
    <w:rsid w:val="00484654"/>
    <w:rsid w:val="00486490"/>
    <w:rsid w:val="0049442F"/>
    <w:rsid w:val="00535125"/>
    <w:rsid w:val="0055157C"/>
    <w:rsid w:val="0056086F"/>
    <w:rsid w:val="005703B2"/>
    <w:rsid w:val="00581A1F"/>
    <w:rsid w:val="00585DC3"/>
    <w:rsid w:val="0059453E"/>
    <w:rsid w:val="005B3EB8"/>
    <w:rsid w:val="005E7BA1"/>
    <w:rsid w:val="006547F3"/>
    <w:rsid w:val="006771A4"/>
    <w:rsid w:val="00683C86"/>
    <w:rsid w:val="00685772"/>
    <w:rsid w:val="006A1B99"/>
    <w:rsid w:val="006B3EA6"/>
    <w:rsid w:val="006C3AA3"/>
    <w:rsid w:val="006E58C5"/>
    <w:rsid w:val="00702A47"/>
    <w:rsid w:val="00751F2E"/>
    <w:rsid w:val="00797E3B"/>
    <w:rsid w:val="007A28DF"/>
    <w:rsid w:val="007B304C"/>
    <w:rsid w:val="007C0E54"/>
    <w:rsid w:val="007D7AA7"/>
    <w:rsid w:val="007F2BB4"/>
    <w:rsid w:val="008048E1"/>
    <w:rsid w:val="00804EAB"/>
    <w:rsid w:val="008247F0"/>
    <w:rsid w:val="00833441"/>
    <w:rsid w:val="00837AFA"/>
    <w:rsid w:val="00844711"/>
    <w:rsid w:val="00854F31"/>
    <w:rsid w:val="00864F80"/>
    <w:rsid w:val="00891E28"/>
    <w:rsid w:val="00897ABA"/>
    <w:rsid w:val="008B7601"/>
    <w:rsid w:val="008D2C16"/>
    <w:rsid w:val="009111F0"/>
    <w:rsid w:val="0095152C"/>
    <w:rsid w:val="009817FA"/>
    <w:rsid w:val="00987319"/>
    <w:rsid w:val="00995B22"/>
    <w:rsid w:val="009B1301"/>
    <w:rsid w:val="009D2CF5"/>
    <w:rsid w:val="009D5734"/>
    <w:rsid w:val="009D6EF3"/>
    <w:rsid w:val="009E00D7"/>
    <w:rsid w:val="009F7B02"/>
    <w:rsid w:val="00A15C5E"/>
    <w:rsid w:val="00A50930"/>
    <w:rsid w:val="00AA5FF1"/>
    <w:rsid w:val="00AC3CB5"/>
    <w:rsid w:val="00AE0D15"/>
    <w:rsid w:val="00B06AC2"/>
    <w:rsid w:val="00B11704"/>
    <w:rsid w:val="00B13B04"/>
    <w:rsid w:val="00B35A3A"/>
    <w:rsid w:val="00BC047B"/>
    <w:rsid w:val="00BE62C1"/>
    <w:rsid w:val="00C27402"/>
    <w:rsid w:val="00C54D50"/>
    <w:rsid w:val="00CA2244"/>
    <w:rsid w:val="00CB0854"/>
    <w:rsid w:val="00CB321B"/>
    <w:rsid w:val="00CB3CD4"/>
    <w:rsid w:val="00CF21C1"/>
    <w:rsid w:val="00D24817"/>
    <w:rsid w:val="00D72E96"/>
    <w:rsid w:val="00D759CE"/>
    <w:rsid w:val="00D77745"/>
    <w:rsid w:val="00DA3E6A"/>
    <w:rsid w:val="00DB2CF7"/>
    <w:rsid w:val="00DB607A"/>
    <w:rsid w:val="00DD12F9"/>
    <w:rsid w:val="00DD43BB"/>
    <w:rsid w:val="00E34A75"/>
    <w:rsid w:val="00E46D26"/>
    <w:rsid w:val="00E523DA"/>
    <w:rsid w:val="00E66484"/>
    <w:rsid w:val="00E746A4"/>
    <w:rsid w:val="00E829D9"/>
    <w:rsid w:val="00E86F59"/>
    <w:rsid w:val="00EA00BD"/>
    <w:rsid w:val="00EB7692"/>
    <w:rsid w:val="00EE253A"/>
    <w:rsid w:val="00F13015"/>
    <w:rsid w:val="00F23447"/>
    <w:rsid w:val="00F61A5E"/>
    <w:rsid w:val="00F66ADD"/>
    <w:rsid w:val="00F81703"/>
    <w:rsid w:val="00F84C47"/>
    <w:rsid w:val="00F95D5B"/>
    <w:rsid w:val="00FA6F8E"/>
    <w:rsid w:val="00FE4B59"/>
    <w:rsid w:val="013771B4"/>
    <w:rsid w:val="01771A6C"/>
    <w:rsid w:val="02016322"/>
    <w:rsid w:val="023254B1"/>
    <w:rsid w:val="028502D5"/>
    <w:rsid w:val="03471A33"/>
    <w:rsid w:val="03A27EAC"/>
    <w:rsid w:val="043D096D"/>
    <w:rsid w:val="04E00185"/>
    <w:rsid w:val="05217610"/>
    <w:rsid w:val="056E045D"/>
    <w:rsid w:val="05DB612F"/>
    <w:rsid w:val="073A7D54"/>
    <w:rsid w:val="07F81751"/>
    <w:rsid w:val="085E2737"/>
    <w:rsid w:val="08AB14EE"/>
    <w:rsid w:val="08DF1E79"/>
    <w:rsid w:val="09455A07"/>
    <w:rsid w:val="097A3EA8"/>
    <w:rsid w:val="09984095"/>
    <w:rsid w:val="0A631274"/>
    <w:rsid w:val="0A6725A5"/>
    <w:rsid w:val="0AA34B94"/>
    <w:rsid w:val="0AEE23BB"/>
    <w:rsid w:val="0BCC419F"/>
    <w:rsid w:val="0C575ED0"/>
    <w:rsid w:val="0C6F264D"/>
    <w:rsid w:val="0D05564F"/>
    <w:rsid w:val="0D125BFE"/>
    <w:rsid w:val="0D422FBB"/>
    <w:rsid w:val="0DD50FB1"/>
    <w:rsid w:val="0DF64A8B"/>
    <w:rsid w:val="0E365DB3"/>
    <w:rsid w:val="0F305636"/>
    <w:rsid w:val="0F4453C6"/>
    <w:rsid w:val="0F4B3325"/>
    <w:rsid w:val="0FAA5792"/>
    <w:rsid w:val="0FB869F7"/>
    <w:rsid w:val="105C7F7A"/>
    <w:rsid w:val="109C1B0C"/>
    <w:rsid w:val="10F469DD"/>
    <w:rsid w:val="112B3071"/>
    <w:rsid w:val="114128A4"/>
    <w:rsid w:val="1170586E"/>
    <w:rsid w:val="11823F73"/>
    <w:rsid w:val="118B3E7B"/>
    <w:rsid w:val="11B752DA"/>
    <w:rsid w:val="12C035A0"/>
    <w:rsid w:val="12E774E6"/>
    <w:rsid w:val="12F3004D"/>
    <w:rsid w:val="14231A69"/>
    <w:rsid w:val="14786070"/>
    <w:rsid w:val="152D1397"/>
    <w:rsid w:val="15375104"/>
    <w:rsid w:val="154C23CA"/>
    <w:rsid w:val="15C703C7"/>
    <w:rsid w:val="15E86D5E"/>
    <w:rsid w:val="15EE6D09"/>
    <w:rsid w:val="16750032"/>
    <w:rsid w:val="167562A9"/>
    <w:rsid w:val="16936480"/>
    <w:rsid w:val="182353D6"/>
    <w:rsid w:val="1840062A"/>
    <w:rsid w:val="184F6F0E"/>
    <w:rsid w:val="185110D1"/>
    <w:rsid w:val="185507CD"/>
    <w:rsid w:val="188132E6"/>
    <w:rsid w:val="18A80CB6"/>
    <w:rsid w:val="195C5299"/>
    <w:rsid w:val="198B4050"/>
    <w:rsid w:val="199F0609"/>
    <w:rsid w:val="19CA433F"/>
    <w:rsid w:val="1ADE4493"/>
    <w:rsid w:val="1B150F94"/>
    <w:rsid w:val="1B562218"/>
    <w:rsid w:val="1B6E2E51"/>
    <w:rsid w:val="1BE72154"/>
    <w:rsid w:val="1BFE2FA4"/>
    <w:rsid w:val="1CB2040F"/>
    <w:rsid w:val="1D806DC1"/>
    <w:rsid w:val="1EBD7239"/>
    <w:rsid w:val="1F4F2FE1"/>
    <w:rsid w:val="1F7447A1"/>
    <w:rsid w:val="1FB160A1"/>
    <w:rsid w:val="20487BB3"/>
    <w:rsid w:val="206F25F6"/>
    <w:rsid w:val="20AC2663"/>
    <w:rsid w:val="20BD299F"/>
    <w:rsid w:val="21012B46"/>
    <w:rsid w:val="210C1526"/>
    <w:rsid w:val="212C59BC"/>
    <w:rsid w:val="21A500E7"/>
    <w:rsid w:val="22205C33"/>
    <w:rsid w:val="22275AEB"/>
    <w:rsid w:val="239F5BD9"/>
    <w:rsid w:val="23E63461"/>
    <w:rsid w:val="24A43806"/>
    <w:rsid w:val="24B436D5"/>
    <w:rsid w:val="2702021B"/>
    <w:rsid w:val="27640F3C"/>
    <w:rsid w:val="27DE3B3D"/>
    <w:rsid w:val="28223699"/>
    <w:rsid w:val="28421A18"/>
    <w:rsid w:val="28BD6ABC"/>
    <w:rsid w:val="28E9010A"/>
    <w:rsid w:val="290F60C1"/>
    <w:rsid w:val="291148AE"/>
    <w:rsid w:val="2A8C7F99"/>
    <w:rsid w:val="2B320733"/>
    <w:rsid w:val="2B6E338D"/>
    <w:rsid w:val="2C2A0860"/>
    <w:rsid w:val="2C542611"/>
    <w:rsid w:val="2C7A7A95"/>
    <w:rsid w:val="2D0212E5"/>
    <w:rsid w:val="2D373FD4"/>
    <w:rsid w:val="2D395DC4"/>
    <w:rsid w:val="2D3D4E6E"/>
    <w:rsid w:val="2D781D9E"/>
    <w:rsid w:val="2DA82589"/>
    <w:rsid w:val="2DC92144"/>
    <w:rsid w:val="2DEB51F1"/>
    <w:rsid w:val="2E53308C"/>
    <w:rsid w:val="2E8E416C"/>
    <w:rsid w:val="2EAA244D"/>
    <w:rsid w:val="2F2573D5"/>
    <w:rsid w:val="2F400809"/>
    <w:rsid w:val="2F440948"/>
    <w:rsid w:val="2FCB21B5"/>
    <w:rsid w:val="30600B63"/>
    <w:rsid w:val="30A44363"/>
    <w:rsid w:val="30C1189E"/>
    <w:rsid w:val="30E224FF"/>
    <w:rsid w:val="31785E87"/>
    <w:rsid w:val="323436AD"/>
    <w:rsid w:val="324617B6"/>
    <w:rsid w:val="326205E7"/>
    <w:rsid w:val="32DE785E"/>
    <w:rsid w:val="3328762F"/>
    <w:rsid w:val="334708B9"/>
    <w:rsid w:val="341D416E"/>
    <w:rsid w:val="34451602"/>
    <w:rsid w:val="359E6375"/>
    <w:rsid w:val="35A03487"/>
    <w:rsid w:val="36D94107"/>
    <w:rsid w:val="36F370B5"/>
    <w:rsid w:val="373A68A2"/>
    <w:rsid w:val="374057E2"/>
    <w:rsid w:val="37470FF7"/>
    <w:rsid w:val="37883302"/>
    <w:rsid w:val="37E14941"/>
    <w:rsid w:val="38167BA8"/>
    <w:rsid w:val="38295F89"/>
    <w:rsid w:val="385926F0"/>
    <w:rsid w:val="39B468E1"/>
    <w:rsid w:val="39BE7699"/>
    <w:rsid w:val="39EE21F7"/>
    <w:rsid w:val="3A6B0918"/>
    <w:rsid w:val="3AD83A82"/>
    <w:rsid w:val="3B1E632A"/>
    <w:rsid w:val="3B233CAE"/>
    <w:rsid w:val="3B4B55EE"/>
    <w:rsid w:val="3BA3158E"/>
    <w:rsid w:val="3BD2037B"/>
    <w:rsid w:val="3C564DE2"/>
    <w:rsid w:val="3C68684E"/>
    <w:rsid w:val="3C77440B"/>
    <w:rsid w:val="3CB11494"/>
    <w:rsid w:val="3D012B6E"/>
    <w:rsid w:val="3D8A7A91"/>
    <w:rsid w:val="3FDA379C"/>
    <w:rsid w:val="3FF35C72"/>
    <w:rsid w:val="3FFF174E"/>
    <w:rsid w:val="404C1208"/>
    <w:rsid w:val="40734192"/>
    <w:rsid w:val="40A00E90"/>
    <w:rsid w:val="429C3529"/>
    <w:rsid w:val="42E6586B"/>
    <w:rsid w:val="434F4FB5"/>
    <w:rsid w:val="441D7EC8"/>
    <w:rsid w:val="443604E1"/>
    <w:rsid w:val="445A5BBE"/>
    <w:rsid w:val="44E60E90"/>
    <w:rsid w:val="452C0D7B"/>
    <w:rsid w:val="45406B53"/>
    <w:rsid w:val="45D24C3C"/>
    <w:rsid w:val="45D60B8D"/>
    <w:rsid w:val="465B7D97"/>
    <w:rsid w:val="466E02D1"/>
    <w:rsid w:val="467B5332"/>
    <w:rsid w:val="46A44E70"/>
    <w:rsid w:val="46AD7CB2"/>
    <w:rsid w:val="46E9454B"/>
    <w:rsid w:val="46EE563F"/>
    <w:rsid w:val="475B3F35"/>
    <w:rsid w:val="478C65BA"/>
    <w:rsid w:val="47B13A58"/>
    <w:rsid w:val="47FF59FF"/>
    <w:rsid w:val="485048F4"/>
    <w:rsid w:val="48834E32"/>
    <w:rsid w:val="48C734EC"/>
    <w:rsid w:val="48D4061C"/>
    <w:rsid w:val="49430389"/>
    <w:rsid w:val="4A090A22"/>
    <w:rsid w:val="4A2711C5"/>
    <w:rsid w:val="4B120E49"/>
    <w:rsid w:val="4BEB6515"/>
    <w:rsid w:val="4C7A7752"/>
    <w:rsid w:val="4C9C6B96"/>
    <w:rsid w:val="4D136702"/>
    <w:rsid w:val="4D733A6B"/>
    <w:rsid w:val="4D816146"/>
    <w:rsid w:val="4D9C53F0"/>
    <w:rsid w:val="4E7F70CA"/>
    <w:rsid w:val="4EFB47A8"/>
    <w:rsid w:val="4F3654F4"/>
    <w:rsid w:val="4FEE3D42"/>
    <w:rsid w:val="50447BB6"/>
    <w:rsid w:val="509563FE"/>
    <w:rsid w:val="50D93BA8"/>
    <w:rsid w:val="51A653BB"/>
    <w:rsid w:val="51B85E02"/>
    <w:rsid w:val="51F95FB3"/>
    <w:rsid w:val="52A87010"/>
    <w:rsid w:val="53DE2ECC"/>
    <w:rsid w:val="547F0560"/>
    <w:rsid w:val="54B94DB7"/>
    <w:rsid w:val="54C060E2"/>
    <w:rsid w:val="5511514F"/>
    <w:rsid w:val="551B015C"/>
    <w:rsid w:val="55472B8E"/>
    <w:rsid w:val="556E2225"/>
    <w:rsid w:val="55AD61BC"/>
    <w:rsid w:val="55F615C5"/>
    <w:rsid w:val="565348BB"/>
    <w:rsid w:val="56B24EFD"/>
    <w:rsid w:val="56C87321"/>
    <w:rsid w:val="576A2835"/>
    <w:rsid w:val="57D93098"/>
    <w:rsid w:val="583A48DF"/>
    <w:rsid w:val="58E21BF3"/>
    <w:rsid w:val="59027497"/>
    <w:rsid w:val="59644C56"/>
    <w:rsid w:val="598009B4"/>
    <w:rsid w:val="59F2181A"/>
    <w:rsid w:val="59F4439B"/>
    <w:rsid w:val="5A7C2364"/>
    <w:rsid w:val="5AAB4C28"/>
    <w:rsid w:val="5BB075E6"/>
    <w:rsid w:val="5BD26B7C"/>
    <w:rsid w:val="5CA6260F"/>
    <w:rsid w:val="5CC15146"/>
    <w:rsid w:val="5E246AD5"/>
    <w:rsid w:val="5F0F1774"/>
    <w:rsid w:val="5F576C4F"/>
    <w:rsid w:val="60897604"/>
    <w:rsid w:val="608E5F66"/>
    <w:rsid w:val="609747E6"/>
    <w:rsid w:val="60F251C3"/>
    <w:rsid w:val="61315441"/>
    <w:rsid w:val="6164212B"/>
    <w:rsid w:val="617C7564"/>
    <w:rsid w:val="61A655B5"/>
    <w:rsid w:val="61C20951"/>
    <w:rsid w:val="6203343F"/>
    <w:rsid w:val="62232355"/>
    <w:rsid w:val="625F54E4"/>
    <w:rsid w:val="627E2D43"/>
    <w:rsid w:val="62BC53E9"/>
    <w:rsid w:val="62DF2E96"/>
    <w:rsid w:val="62E60D93"/>
    <w:rsid w:val="632F10C9"/>
    <w:rsid w:val="63BA4A8C"/>
    <w:rsid w:val="63E06AE9"/>
    <w:rsid w:val="64131FDF"/>
    <w:rsid w:val="6417473F"/>
    <w:rsid w:val="643567DE"/>
    <w:rsid w:val="643B5FA8"/>
    <w:rsid w:val="64E72893"/>
    <w:rsid w:val="65E3329A"/>
    <w:rsid w:val="6618680E"/>
    <w:rsid w:val="66B80A62"/>
    <w:rsid w:val="66C400C9"/>
    <w:rsid w:val="674002BD"/>
    <w:rsid w:val="683717EB"/>
    <w:rsid w:val="68A040F7"/>
    <w:rsid w:val="69FE73BB"/>
    <w:rsid w:val="6A307CAD"/>
    <w:rsid w:val="6A8108D4"/>
    <w:rsid w:val="6BD246C2"/>
    <w:rsid w:val="6BDE10B4"/>
    <w:rsid w:val="6C3C74A3"/>
    <w:rsid w:val="6C48457D"/>
    <w:rsid w:val="6CE604A1"/>
    <w:rsid w:val="6D7971F9"/>
    <w:rsid w:val="6D88454E"/>
    <w:rsid w:val="6DC10C12"/>
    <w:rsid w:val="6DDD06CC"/>
    <w:rsid w:val="6E7A2D27"/>
    <w:rsid w:val="6EB96777"/>
    <w:rsid w:val="6F01362B"/>
    <w:rsid w:val="6F235D81"/>
    <w:rsid w:val="705425A9"/>
    <w:rsid w:val="70F43EA1"/>
    <w:rsid w:val="71481067"/>
    <w:rsid w:val="71607785"/>
    <w:rsid w:val="72192DB7"/>
    <w:rsid w:val="723532EE"/>
    <w:rsid w:val="725371A6"/>
    <w:rsid w:val="72824036"/>
    <w:rsid w:val="733F1120"/>
    <w:rsid w:val="73453B38"/>
    <w:rsid w:val="73531678"/>
    <w:rsid w:val="735A4E8F"/>
    <w:rsid w:val="73A42E74"/>
    <w:rsid w:val="73BA1A44"/>
    <w:rsid w:val="74800389"/>
    <w:rsid w:val="75107A5A"/>
    <w:rsid w:val="7538675D"/>
    <w:rsid w:val="75586B58"/>
    <w:rsid w:val="75A55E0F"/>
    <w:rsid w:val="75C34C3A"/>
    <w:rsid w:val="75FE11C2"/>
    <w:rsid w:val="763C1281"/>
    <w:rsid w:val="767D6BDB"/>
    <w:rsid w:val="76CE304C"/>
    <w:rsid w:val="76E06F55"/>
    <w:rsid w:val="7742508F"/>
    <w:rsid w:val="775F6606"/>
    <w:rsid w:val="7763329E"/>
    <w:rsid w:val="780A2A60"/>
    <w:rsid w:val="781262A0"/>
    <w:rsid w:val="78525D6D"/>
    <w:rsid w:val="792212B7"/>
    <w:rsid w:val="79AC69AC"/>
    <w:rsid w:val="7A7D189E"/>
    <w:rsid w:val="7B0F49AA"/>
    <w:rsid w:val="7B23113C"/>
    <w:rsid w:val="7B2C1F77"/>
    <w:rsid w:val="7B37496A"/>
    <w:rsid w:val="7B4573E5"/>
    <w:rsid w:val="7B766D10"/>
    <w:rsid w:val="7BAD5DE7"/>
    <w:rsid w:val="7BAD67C6"/>
    <w:rsid w:val="7BD73314"/>
    <w:rsid w:val="7C1E7B33"/>
    <w:rsid w:val="7C5F388B"/>
    <w:rsid w:val="7C6A2CF6"/>
    <w:rsid w:val="7C70780C"/>
    <w:rsid w:val="7CAB0F20"/>
    <w:rsid w:val="7CB325D8"/>
    <w:rsid w:val="7CFD7703"/>
    <w:rsid w:val="7D3B636B"/>
    <w:rsid w:val="7E0066FF"/>
    <w:rsid w:val="7E9E6258"/>
    <w:rsid w:val="7EBA1C9B"/>
    <w:rsid w:val="7F590636"/>
    <w:rsid w:val="7F884A6F"/>
    <w:rsid w:val="7F971AAE"/>
    <w:rsid w:val="7FB85225"/>
    <w:rsid w:val="7FDD3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spacing w:line="360" w:lineRule="auto"/>
      <w:ind w:firstLine="200" w:firstLineChars="200"/>
      <w:jc w:val="both"/>
    </w:pPr>
    <w:rPr>
      <w:rFonts w:ascii="Times New Roman" w:hAnsi="Times New Roman" w:eastAsia="仿宋" w:cstheme="minorBidi"/>
      <w:kern w:val="2"/>
      <w:sz w:val="32"/>
      <w:szCs w:val="24"/>
      <w:lang w:val="en-US" w:eastAsia="zh-CN" w:bidi="ar-SA"/>
    </w:rPr>
  </w:style>
  <w:style w:type="paragraph" w:styleId="4">
    <w:name w:val="heading 1"/>
    <w:basedOn w:val="1"/>
    <w:next w:val="1"/>
    <w:link w:val="32"/>
    <w:qFormat/>
    <w:uiPriority w:val="0"/>
    <w:pPr>
      <w:keepNext/>
      <w:keepLines/>
      <w:ind w:firstLine="0" w:firstLineChars="0"/>
      <w:jc w:val="center"/>
      <w:outlineLvl w:val="0"/>
    </w:pPr>
    <w:rPr>
      <w:b/>
      <w:bCs/>
      <w:kern w:val="44"/>
      <w:sz w:val="36"/>
      <w:szCs w:val="44"/>
    </w:rPr>
  </w:style>
  <w:style w:type="paragraph" w:styleId="5">
    <w:name w:val="heading 2"/>
    <w:basedOn w:val="1"/>
    <w:next w:val="1"/>
    <w:link w:val="33"/>
    <w:unhideWhenUsed/>
    <w:qFormat/>
    <w:uiPriority w:val="0"/>
    <w:pPr>
      <w:keepNext/>
      <w:keepLines/>
      <w:ind w:firstLine="0" w:firstLineChars="0"/>
      <w:jc w:val="center"/>
      <w:outlineLvl w:val="1"/>
    </w:pPr>
    <w:rPr>
      <w:rFonts w:cstheme="majorBidi"/>
      <w:b/>
      <w:bCs/>
      <w:szCs w:val="32"/>
    </w:rPr>
  </w:style>
  <w:style w:type="paragraph" w:styleId="6">
    <w:name w:val="heading 3"/>
    <w:basedOn w:val="1"/>
    <w:next w:val="1"/>
    <w:link w:val="56"/>
    <w:unhideWhenUsed/>
    <w:qFormat/>
    <w:uiPriority w:val="0"/>
    <w:pPr>
      <w:keepNext/>
      <w:keepLines/>
      <w:ind w:firstLine="0" w:firstLineChars="0"/>
      <w:outlineLvl w:val="2"/>
    </w:pPr>
    <w:rPr>
      <w:b/>
    </w:rPr>
  </w:style>
  <w:style w:type="paragraph" w:styleId="7">
    <w:name w:val="heading 4"/>
    <w:basedOn w:val="1"/>
    <w:next w:val="1"/>
    <w:link w:val="44"/>
    <w:unhideWhenUsed/>
    <w:qFormat/>
    <w:uiPriority w:val="0"/>
    <w:pPr>
      <w:keepNext/>
      <w:keepLines/>
      <w:overflowPunct/>
      <w:spacing w:before="280" w:after="290" w:line="372" w:lineRule="auto"/>
      <w:outlineLvl w:val="3"/>
    </w:pPr>
    <w:rPr>
      <w:rFonts w:ascii="Arial" w:hAnsi="Arial" w:eastAsia="黑体"/>
      <w:b/>
      <w:sz w:val="28"/>
    </w:rPr>
  </w:style>
  <w:style w:type="paragraph" w:styleId="8">
    <w:name w:val="heading 5"/>
    <w:basedOn w:val="1"/>
    <w:next w:val="1"/>
    <w:link w:val="43"/>
    <w:unhideWhenUsed/>
    <w:qFormat/>
    <w:uiPriority w:val="0"/>
    <w:pPr>
      <w:keepNext/>
      <w:keepLines/>
      <w:spacing w:before="280" w:after="290" w:line="376"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widowControl w:val="0"/>
      <w:tabs>
        <w:tab w:val="left" w:pos="0"/>
      </w:tabs>
      <w:spacing w:line="500" w:lineRule="exact"/>
      <w:ind w:firstLine="420"/>
      <w:jc w:val="both"/>
    </w:pPr>
    <w:rPr>
      <w:rFonts w:ascii="黑体" w:hAnsi="Times New Roman" w:eastAsia="仿宋_GB2312" w:cs="Times New Roman"/>
      <w:kern w:val="2"/>
      <w:sz w:val="21"/>
      <w:szCs w:val="24"/>
      <w:lang w:val="en-US" w:eastAsia="zh-CN" w:bidi="ar-SA"/>
    </w:rPr>
  </w:style>
  <w:style w:type="paragraph" w:styleId="3">
    <w:name w:val="Body Text Indent"/>
    <w:basedOn w:val="1"/>
    <w:link w:val="35"/>
    <w:qFormat/>
    <w:uiPriority w:val="0"/>
    <w:pPr>
      <w:ind w:firstLine="465"/>
    </w:pPr>
    <w:rPr>
      <w:spacing w:val="8"/>
    </w:rPr>
  </w:style>
  <w:style w:type="paragraph" w:styleId="9">
    <w:name w:val="Normal Indent"/>
    <w:basedOn w:val="1"/>
    <w:next w:val="10"/>
    <w:qFormat/>
    <w:uiPriority w:val="0"/>
    <w:pPr>
      <w:tabs>
        <w:tab w:val="left" w:pos="0"/>
      </w:tabs>
      <w:autoSpaceDE w:val="0"/>
      <w:autoSpaceDN w:val="0"/>
      <w:adjustRightInd w:val="0"/>
      <w:snapToGrid w:val="0"/>
      <w:spacing w:line="240" w:lineRule="auto"/>
      <w:ind w:firstLine="0" w:firstLineChars="0"/>
      <w:jc w:val="center"/>
      <w:textAlignment w:val="baseline"/>
    </w:pPr>
    <w:rPr>
      <w:rFonts w:ascii="仿宋_GB2312" w:hAnsi="仿宋_GB2312" w:eastAsia="宋体"/>
      <w:b/>
      <w:color w:val="000000"/>
      <w:sz w:val="21"/>
      <w:szCs w:val="20"/>
    </w:rPr>
  </w:style>
  <w:style w:type="paragraph" w:styleId="10">
    <w:name w:val="Body Text"/>
    <w:basedOn w:val="1"/>
    <w:next w:val="1"/>
    <w:link w:val="34"/>
    <w:qFormat/>
    <w:uiPriority w:val="0"/>
    <w:pPr>
      <w:spacing w:after="120"/>
    </w:pPr>
  </w:style>
  <w:style w:type="paragraph" w:styleId="11">
    <w:name w:val="caption"/>
    <w:basedOn w:val="1"/>
    <w:next w:val="1"/>
    <w:semiHidden/>
    <w:unhideWhenUsed/>
    <w:qFormat/>
    <w:uiPriority w:val="0"/>
    <w:pPr>
      <w:overflowPunct/>
    </w:pPr>
    <w:rPr>
      <w:rFonts w:ascii="Arial" w:hAnsi="Arial" w:eastAsia="黑体"/>
      <w:sz w:val="20"/>
    </w:rPr>
  </w:style>
  <w:style w:type="paragraph" w:styleId="12">
    <w:name w:val="annotation text"/>
    <w:basedOn w:val="1"/>
    <w:link w:val="40"/>
    <w:qFormat/>
    <w:uiPriority w:val="0"/>
    <w:pPr>
      <w:jc w:val="left"/>
    </w:pPr>
  </w:style>
  <w:style w:type="paragraph" w:styleId="13">
    <w:name w:val="toc 3"/>
    <w:basedOn w:val="1"/>
    <w:next w:val="1"/>
    <w:qFormat/>
    <w:uiPriority w:val="39"/>
    <w:pPr>
      <w:overflowPunct/>
      <w:ind w:left="100" w:leftChars="100"/>
    </w:pPr>
    <w:rPr>
      <w:rFonts w:asciiTheme="minorHAnsi" w:hAnsiTheme="minorHAnsi"/>
    </w:rPr>
  </w:style>
  <w:style w:type="paragraph" w:styleId="14">
    <w:name w:val="Balloon Text"/>
    <w:basedOn w:val="1"/>
    <w:link w:val="39"/>
    <w:qFormat/>
    <w:uiPriority w:val="0"/>
    <w:pPr>
      <w:spacing w:line="240" w:lineRule="auto"/>
    </w:pPr>
    <w:rPr>
      <w:sz w:val="18"/>
      <w:szCs w:val="18"/>
    </w:rPr>
  </w:style>
  <w:style w:type="paragraph" w:styleId="15">
    <w:name w:val="footer"/>
    <w:basedOn w:val="1"/>
    <w:link w:val="31"/>
    <w:qFormat/>
    <w:uiPriority w:val="99"/>
    <w:pPr>
      <w:tabs>
        <w:tab w:val="center" w:pos="4153"/>
        <w:tab w:val="right" w:pos="8306"/>
      </w:tabs>
      <w:snapToGrid w:val="0"/>
      <w:jc w:val="left"/>
    </w:pPr>
    <w:rPr>
      <w:sz w:val="18"/>
      <w:szCs w:val="18"/>
    </w:rPr>
  </w:style>
  <w:style w:type="paragraph" w:styleId="16">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ind w:firstLine="0" w:firstLineChars="0"/>
    </w:pPr>
    <w:rPr>
      <w:sz w:val="30"/>
    </w:rPr>
  </w:style>
  <w:style w:type="paragraph" w:styleId="18">
    <w:name w:val="toc 4"/>
    <w:basedOn w:val="1"/>
    <w:next w:val="1"/>
    <w:qFormat/>
    <w:uiPriority w:val="0"/>
    <w:pPr>
      <w:overflowPunct/>
      <w:ind w:left="1260" w:leftChars="600"/>
    </w:pPr>
    <w:rPr>
      <w:rFonts w:asciiTheme="minorHAnsi" w:hAnsiTheme="minorHAnsi"/>
    </w:rPr>
  </w:style>
  <w:style w:type="paragraph" w:styleId="19">
    <w:name w:val="toc 2"/>
    <w:basedOn w:val="1"/>
    <w:next w:val="1"/>
    <w:qFormat/>
    <w:uiPriority w:val="39"/>
    <w:rPr>
      <w:sz w:val="28"/>
    </w:rPr>
  </w:style>
  <w:style w:type="paragraph" w:styleId="20">
    <w:name w:val="Title"/>
    <w:basedOn w:val="1"/>
    <w:next w:val="1"/>
    <w:link w:val="42"/>
    <w:qFormat/>
    <w:uiPriority w:val="0"/>
    <w:pPr>
      <w:spacing w:before="240" w:after="60"/>
      <w:jc w:val="center"/>
      <w:outlineLvl w:val="0"/>
    </w:pPr>
    <w:rPr>
      <w:rFonts w:eastAsia="宋体" w:asciiTheme="majorHAnsi" w:hAnsiTheme="majorHAnsi" w:cstheme="majorBidi"/>
      <w:b/>
      <w:bCs/>
      <w:szCs w:val="32"/>
    </w:rPr>
  </w:style>
  <w:style w:type="paragraph" w:styleId="21">
    <w:name w:val="annotation subject"/>
    <w:basedOn w:val="12"/>
    <w:next w:val="12"/>
    <w:link w:val="41"/>
    <w:qFormat/>
    <w:uiPriority w:val="0"/>
    <w:rPr>
      <w:b/>
      <w:bCs/>
    </w:rPr>
  </w:style>
  <w:style w:type="table" w:styleId="23">
    <w:name w:val="Table Gri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5">
    <w:name w:val="page number"/>
    <w:qFormat/>
    <w:uiPriority w:val="0"/>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qFormat/>
    <w:uiPriority w:val="0"/>
    <w:rPr>
      <w:sz w:val="21"/>
      <w:szCs w:val="21"/>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页眉 Char"/>
    <w:basedOn w:val="24"/>
    <w:link w:val="16"/>
    <w:qFormat/>
    <w:uiPriority w:val="0"/>
    <w:rPr>
      <w:rFonts w:asciiTheme="minorHAnsi" w:hAnsiTheme="minorHAnsi" w:eastAsiaTheme="minorEastAsia" w:cstheme="minorBidi"/>
      <w:kern w:val="2"/>
      <w:sz w:val="18"/>
      <w:szCs w:val="18"/>
    </w:rPr>
  </w:style>
  <w:style w:type="character" w:customStyle="1" w:styleId="31">
    <w:name w:val="页脚 Char"/>
    <w:basedOn w:val="24"/>
    <w:link w:val="15"/>
    <w:qFormat/>
    <w:uiPriority w:val="99"/>
    <w:rPr>
      <w:rFonts w:asciiTheme="minorHAnsi" w:hAnsiTheme="minorHAnsi" w:eastAsiaTheme="minorEastAsia" w:cstheme="minorBidi"/>
      <w:kern w:val="2"/>
      <w:sz w:val="18"/>
      <w:szCs w:val="18"/>
    </w:rPr>
  </w:style>
  <w:style w:type="character" w:customStyle="1" w:styleId="32">
    <w:name w:val="标题 1 Char"/>
    <w:basedOn w:val="24"/>
    <w:link w:val="4"/>
    <w:qFormat/>
    <w:uiPriority w:val="0"/>
    <w:rPr>
      <w:rFonts w:eastAsia="仿宋" w:cstheme="minorBidi"/>
      <w:b/>
      <w:bCs/>
      <w:kern w:val="44"/>
      <w:sz w:val="36"/>
      <w:szCs w:val="44"/>
    </w:rPr>
  </w:style>
  <w:style w:type="character" w:customStyle="1" w:styleId="33">
    <w:name w:val="标题 2 Char"/>
    <w:basedOn w:val="24"/>
    <w:link w:val="5"/>
    <w:qFormat/>
    <w:uiPriority w:val="0"/>
    <w:rPr>
      <w:rFonts w:eastAsia="仿宋" w:cstheme="majorBidi"/>
      <w:b/>
      <w:bCs/>
      <w:kern w:val="2"/>
      <w:sz w:val="32"/>
      <w:szCs w:val="32"/>
    </w:rPr>
  </w:style>
  <w:style w:type="character" w:customStyle="1" w:styleId="34">
    <w:name w:val="正文文本 Char"/>
    <w:link w:val="10"/>
    <w:qFormat/>
    <w:uiPriority w:val="0"/>
  </w:style>
  <w:style w:type="character" w:customStyle="1" w:styleId="35">
    <w:name w:val="正文文本缩进 Char"/>
    <w:link w:val="3"/>
    <w:qFormat/>
    <w:uiPriority w:val="99"/>
    <w:rPr>
      <w:spacing w:val="8"/>
    </w:rPr>
  </w:style>
  <w:style w:type="character" w:customStyle="1" w:styleId="36">
    <w:name w:val="font61"/>
    <w:basedOn w:val="24"/>
    <w:qFormat/>
    <w:uiPriority w:val="0"/>
    <w:rPr>
      <w:rFonts w:hint="eastAsia" w:ascii="宋体" w:hAnsi="宋体" w:eastAsia="宋体" w:cs="宋体"/>
      <w:b/>
      <w:color w:val="FF0000"/>
      <w:sz w:val="21"/>
      <w:szCs w:val="21"/>
      <w:u w:val="none"/>
    </w:rPr>
  </w:style>
  <w:style w:type="character" w:customStyle="1" w:styleId="37">
    <w:name w:val="font51"/>
    <w:basedOn w:val="24"/>
    <w:qFormat/>
    <w:uiPriority w:val="0"/>
    <w:rPr>
      <w:rFonts w:hint="eastAsia" w:ascii="宋体" w:hAnsi="宋体" w:eastAsia="宋体" w:cs="宋体"/>
      <w:b/>
      <w:color w:val="auto"/>
      <w:sz w:val="21"/>
      <w:szCs w:val="21"/>
      <w:u w:val="none"/>
    </w:rPr>
  </w:style>
  <w:style w:type="character" w:customStyle="1" w:styleId="38">
    <w:name w:val="font71"/>
    <w:basedOn w:val="24"/>
    <w:qFormat/>
    <w:uiPriority w:val="0"/>
    <w:rPr>
      <w:rFonts w:hint="default" w:ascii="Times New Roman" w:hAnsi="Times New Roman" w:cs="Times New Roman"/>
      <w:color w:val="auto"/>
      <w:sz w:val="21"/>
      <w:szCs w:val="21"/>
      <w:u w:val="none"/>
    </w:rPr>
  </w:style>
  <w:style w:type="character" w:customStyle="1" w:styleId="39">
    <w:name w:val="批注框文本 Char"/>
    <w:basedOn w:val="24"/>
    <w:link w:val="14"/>
    <w:qFormat/>
    <w:uiPriority w:val="0"/>
    <w:rPr>
      <w:rFonts w:eastAsia="仿宋" w:cstheme="minorBidi"/>
      <w:kern w:val="2"/>
      <w:sz w:val="18"/>
      <w:szCs w:val="18"/>
    </w:rPr>
  </w:style>
  <w:style w:type="character" w:customStyle="1" w:styleId="40">
    <w:name w:val="批注文字 Char"/>
    <w:basedOn w:val="24"/>
    <w:link w:val="12"/>
    <w:qFormat/>
    <w:uiPriority w:val="0"/>
    <w:rPr>
      <w:rFonts w:eastAsia="仿宋" w:cstheme="minorBidi"/>
      <w:kern w:val="2"/>
      <w:sz w:val="32"/>
      <w:szCs w:val="24"/>
    </w:rPr>
  </w:style>
  <w:style w:type="character" w:customStyle="1" w:styleId="41">
    <w:name w:val="批注主题 Char"/>
    <w:basedOn w:val="40"/>
    <w:link w:val="21"/>
    <w:qFormat/>
    <w:uiPriority w:val="0"/>
    <w:rPr>
      <w:rFonts w:eastAsia="仿宋" w:cstheme="minorBidi"/>
      <w:b/>
      <w:bCs/>
      <w:kern w:val="2"/>
      <w:sz w:val="32"/>
      <w:szCs w:val="24"/>
    </w:rPr>
  </w:style>
  <w:style w:type="character" w:customStyle="1" w:styleId="42">
    <w:name w:val="标题 Char"/>
    <w:basedOn w:val="24"/>
    <w:link w:val="20"/>
    <w:qFormat/>
    <w:uiPriority w:val="0"/>
    <w:rPr>
      <w:rFonts w:asciiTheme="majorHAnsi" w:hAnsiTheme="majorHAnsi" w:cstheme="majorBidi"/>
      <w:b/>
      <w:bCs/>
      <w:kern w:val="2"/>
      <w:sz w:val="32"/>
      <w:szCs w:val="32"/>
    </w:rPr>
  </w:style>
  <w:style w:type="character" w:customStyle="1" w:styleId="43">
    <w:name w:val="标题 5 Char"/>
    <w:basedOn w:val="24"/>
    <w:link w:val="8"/>
    <w:qFormat/>
    <w:uiPriority w:val="0"/>
    <w:rPr>
      <w:rFonts w:eastAsia="仿宋" w:cstheme="minorBidi"/>
      <w:b/>
      <w:bCs/>
      <w:kern w:val="2"/>
      <w:sz w:val="28"/>
      <w:szCs w:val="28"/>
    </w:rPr>
  </w:style>
  <w:style w:type="character" w:customStyle="1" w:styleId="44">
    <w:name w:val="标题 4 Char"/>
    <w:basedOn w:val="24"/>
    <w:link w:val="7"/>
    <w:qFormat/>
    <w:uiPriority w:val="0"/>
    <w:rPr>
      <w:rFonts w:ascii="Arial" w:hAnsi="Arial" w:eastAsia="黑体" w:cstheme="minorBidi"/>
      <w:b/>
      <w:kern w:val="2"/>
      <w:sz w:val="28"/>
      <w:szCs w:val="24"/>
    </w:rPr>
  </w:style>
  <w:style w:type="paragraph" w:customStyle="1" w:styleId="45">
    <w:name w:val="样式33"/>
    <w:basedOn w:val="18"/>
    <w:qFormat/>
    <w:uiPriority w:val="0"/>
    <w:rPr>
      <w:rFonts w:ascii="Times New Roman" w:hAnsi="Times New Roman" w:eastAsia="宋体" w:cs="Times New Roman"/>
    </w:rPr>
  </w:style>
  <w:style w:type="paragraph" w:customStyle="1" w:styleId="46">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7">
    <w:name w:val="List Paragraph"/>
    <w:basedOn w:val="1"/>
    <w:qFormat/>
    <w:uiPriority w:val="34"/>
    <w:pPr>
      <w:overflowPunct/>
      <w:ind w:firstLine="420"/>
    </w:pPr>
    <w:rPr>
      <w:rFonts w:asciiTheme="minorHAnsi" w:hAnsiTheme="minorHAnsi"/>
    </w:rPr>
  </w:style>
  <w:style w:type="table" w:customStyle="1" w:styleId="48">
    <w:name w:val="网格型4"/>
    <w:basedOn w:val="22"/>
    <w:qFormat/>
    <w:uiPriority w:val="39"/>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9">
    <w:name w:val="Table Paragraph"/>
    <w:basedOn w:val="1"/>
    <w:qFormat/>
    <w:uiPriority w:val="1"/>
    <w:pPr>
      <w:overflowPunct/>
    </w:pPr>
    <w:rPr>
      <w:rFonts w:ascii="宋体" w:hAnsi="宋体" w:eastAsia="宋体" w:cs="宋体"/>
      <w:lang w:val="zh-CN" w:bidi="zh-CN"/>
    </w:rPr>
  </w:style>
  <w:style w:type="paragraph" w:customStyle="1" w:styleId="50">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51">
    <w:name w:val="font21"/>
    <w:basedOn w:val="24"/>
    <w:qFormat/>
    <w:uiPriority w:val="0"/>
    <w:rPr>
      <w:rFonts w:hint="eastAsia" w:ascii="宋体" w:hAnsi="宋体" w:eastAsia="宋体" w:cs="宋体"/>
      <w:color w:val="000000"/>
      <w:sz w:val="24"/>
      <w:szCs w:val="24"/>
      <w:u w:val="none"/>
    </w:rPr>
  </w:style>
  <w:style w:type="character" w:customStyle="1" w:styleId="52">
    <w:name w:val="font31"/>
    <w:basedOn w:val="24"/>
    <w:qFormat/>
    <w:uiPriority w:val="0"/>
    <w:rPr>
      <w:rFonts w:hint="eastAsia" w:ascii="宋体" w:hAnsi="宋体" w:eastAsia="宋体" w:cs="宋体"/>
      <w:color w:val="000000"/>
      <w:sz w:val="22"/>
      <w:szCs w:val="22"/>
      <w:u w:val="none"/>
    </w:rPr>
  </w:style>
  <w:style w:type="character" w:customStyle="1" w:styleId="53">
    <w:name w:val="font41"/>
    <w:basedOn w:val="24"/>
    <w:qFormat/>
    <w:uiPriority w:val="0"/>
    <w:rPr>
      <w:rFonts w:hint="eastAsia" w:ascii="宋体" w:hAnsi="宋体" w:eastAsia="宋体" w:cs="宋体"/>
      <w:color w:val="000000"/>
      <w:sz w:val="20"/>
      <w:szCs w:val="20"/>
      <w:u w:val="none"/>
    </w:rPr>
  </w:style>
  <w:style w:type="character" w:customStyle="1" w:styleId="54">
    <w:name w:val="font11"/>
    <w:basedOn w:val="24"/>
    <w:qFormat/>
    <w:uiPriority w:val="0"/>
    <w:rPr>
      <w:rFonts w:hint="eastAsia" w:ascii="宋体" w:hAnsi="宋体" w:eastAsia="宋体" w:cs="宋体"/>
      <w:color w:val="000000"/>
      <w:sz w:val="22"/>
      <w:szCs w:val="22"/>
      <w:u w:val="none"/>
      <w:vertAlign w:val="superscript"/>
    </w:rPr>
  </w:style>
  <w:style w:type="character" w:customStyle="1" w:styleId="55">
    <w:name w:val="font01"/>
    <w:basedOn w:val="24"/>
    <w:qFormat/>
    <w:uiPriority w:val="0"/>
    <w:rPr>
      <w:rFonts w:hint="eastAsia" w:ascii="宋体" w:hAnsi="宋体" w:eastAsia="宋体" w:cs="宋体"/>
      <w:color w:val="000000"/>
      <w:sz w:val="22"/>
      <w:szCs w:val="22"/>
      <w:u w:val="none"/>
    </w:rPr>
  </w:style>
  <w:style w:type="character" w:customStyle="1" w:styleId="56">
    <w:name w:val="标题 3 Char"/>
    <w:basedOn w:val="24"/>
    <w:link w:val="6"/>
    <w:qFormat/>
    <w:uiPriority w:val="0"/>
    <w:rPr>
      <w:rFonts w:eastAsia="仿宋" w:cstheme="minorBidi"/>
      <w:b/>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774E6-E8A8-4852-9C08-E4812A61C11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28281</Words>
  <Characters>29252</Characters>
  <Lines>25</Lines>
  <Paragraphs>58</Paragraphs>
  <TotalTime>1</TotalTime>
  <ScaleCrop>false</ScaleCrop>
  <LinksUpToDate>false</LinksUpToDate>
  <CharactersWithSpaces>29447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2022-02-18T01:33:00Z</dcterms:created>
  <dc:creator>ASUS</dc:creator>
  <cp:lastModifiedBy>·蕾果</cp:lastModifiedBy>
  <cp:lastPrinted>2022-09-27T09:01:00Z</cp:lastPrinted>
  <dcterms:modified xsi:type="dcterms:W3CDTF">2022-11-16T07:44:48Z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6B7248C320964BBE803C65285AD592C0</vt:lpwstr>
  </property>
</Properties>
</file>