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168"/>
        <w:jc w:val="center"/>
        <w:outlineLvl w:val="0"/>
        <w:rPr>
          <w:rFonts w:hint="eastAsia" w:ascii="黑体" w:hAnsi="黑体" w:eastAsia="黑体" w:cs="宋体"/>
          <w:bCs/>
          <w:color w:val="333333"/>
          <w:spacing w:val="7"/>
          <w:kern w:val="36"/>
          <w:sz w:val="44"/>
          <w:szCs w:val="44"/>
        </w:rPr>
      </w:pPr>
      <w:r>
        <w:rPr>
          <w:rFonts w:hint="eastAsia" w:ascii="黑体" w:hAnsi="黑体" w:eastAsia="黑体" w:cs="宋体"/>
          <w:bCs/>
          <w:color w:val="333333"/>
          <w:spacing w:val="7"/>
          <w:kern w:val="36"/>
          <w:sz w:val="44"/>
          <w:szCs w:val="44"/>
        </w:rPr>
        <w:t>2021年度城市社区管委会部门整体支出</w:t>
      </w:r>
    </w:p>
    <w:p>
      <w:pPr>
        <w:widowControl/>
        <w:shd w:val="clear" w:color="auto" w:fill="FFFFFF"/>
        <w:spacing w:after="168"/>
        <w:jc w:val="center"/>
        <w:outlineLvl w:val="0"/>
        <w:rPr>
          <w:rFonts w:ascii="黑体" w:hAnsi="黑体" w:eastAsia="黑体" w:cs="宋体"/>
          <w:bCs/>
          <w:color w:val="333333"/>
          <w:spacing w:val="7"/>
          <w:kern w:val="36"/>
          <w:sz w:val="44"/>
          <w:szCs w:val="44"/>
        </w:rPr>
      </w:pPr>
      <w:r>
        <w:rPr>
          <w:rFonts w:hint="eastAsia" w:ascii="黑体" w:hAnsi="黑体" w:eastAsia="黑体" w:cs="宋体"/>
          <w:bCs/>
          <w:color w:val="333333"/>
          <w:spacing w:val="7"/>
          <w:kern w:val="36"/>
          <w:sz w:val="44"/>
          <w:szCs w:val="44"/>
        </w:rPr>
        <w:t>绩效评价自评报告</w:t>
      </w:r>
    </w:p>
    <w:p>
      <w:pPr>
        <w:pStyle w:val="7"/>
        <w:numPr>
          <w:ilvl w:val="0"/>
          <w:numId w:val="1"/>
        </w:numPr>
        <w:ind w:firstLineChars="0"/>
        <w:rPr>
          <w:rFonts w:hint="eastAsia" w:asciiTheme="minorEastAsia" w:hAnsiTheme="minorEastAsia"/>
          <w:sz w:val="32"/>
          <w:szCs w:val="32"/>
        </w:rPr>
      </w:pPr>
      <w:r>
        <w:rPr>
          <w:rFonts w:hint="eastAsia" w:asciiTheme="minorEastAsia" w:hAnsiTheme="minorEastAsia"/>
          <w:sz w:val="32"/>
          <w:szCs w:val="32"/>
        </w:rPr>
        <w:t>部门概况</w:t>
      </w:r>
    </w:p>
    <w:p>
      <w:pPr>
        <w:ind w:firstLine="640" w:firstLineChars="200"/>
        <w:rPr>
          <w:rFonts w:ascii="仿宋_GB2312" w:hAnsi="仿宋"/>
          <w:sz w:val="32"/>
          <w:szCs w:val="32"/>
        </w:rPr>
      </w:pPr>
      <w:r>
        <w:rPr>
          <w:rFonts w:hint="eastAsia" w:ascii="仿宋_GB2312" w:hAnsi="仿宋_GB2312"/>
          <w:sz w:val="32"/>
          <w:szCs w:val="32"/>
        </w:rPr>
        <w:t>（一）部门情况</w:t>
      </w:r>
      <w:r>
        <w:rPr>
          <w:rFonts w:ascii="仿宋_GB2312" w:hAnsi="仿宋_GB2312"/>
          <w:sz w:val="32"/>
          <w:szCs w:val="32"/>
        </w:rPr>
        <w:t>。</w:t>
      </w:r>
    </w:p>
    <w:p>
      <w:pPr>
        <w:ind w:firstLine="600" w:firstLineChars="200"/>
        <w:rPr>
          <w:rFonts w:hint="eastAsia" w:ascii="仿宋" w:hAnsi="仿宋" w:eastAsia="仿宋"/>
          <w:sz w:val="30"/>
          <w:szCs w:val="30"/>
        </w:rPr>
      </w:pPr>
      <w:r>
        <w:rPr>
          <w:rFonts w:hint="eastAsia" w:ascii="仿宋" w:hAnsi="仿宋" w:eastAsia="仿宋"/>
          <w:sz w:val="30"/>
          <w:szCs w:val="30"/>
        </w:rPr>
        <w:t>1.部门职责：</w:t>
      </w:r>
    </w:p>
    <w:p>
      <w:pPr>
        <w:ind w:firstLine="600" w:firstLineChars="200"/>
        <w:rPr>
          <w:rFonts w:ascii="仿宋" w:hAnsi="仿宋" w:eastAsia="仿宋"/>
          <w:sz w:val="30"/>
          <w:szCs w:val="30"/>
        </w:rPr>
      </w:pPr>
      <w:r>
        <w:rPr>
          <w:rFonts w:hint="eastAsia" w:ascii="仿宋" w:hAnsi="仿宋" w:eastAsia="仿宋"/>
          <w:sz w:val="30"/>
          <w:szCs w:val="30"/>
        </w:rPr>
        <w:t xml:space="preserve">中共龙南县城市社区工作委员会、龙南县城市社区管理委员会为中共龙南县委、龙南县人民政府派出机构，正科级，履行城市社区党的建设和各项管理服务职能。主要职责是：   </w:t>
      </w:r>
    </w:p>
    <w:p>
      <w:pPr>
        <w:ind w:firstLine="450" w:firstLineChars="150"/>
        <w:rPr>
          <w:rFonts w:hint="eastAsia" w:ascii="仿宋" w:hAnsi="仿宋" w:eastAsia="仿宋"/>
          <w:sz w:val="30"/>
          <w:szCs w:val="30"/>
        </w:rPr>
      </w:pPr>
      <w:r>
        <w:rPr>
          <w:rFonts w:hint="eastAsia" w:ascii="仿宋" w:hAnsi="仿宋" w:eastAsia="仿宋"/>
          <w:sz w:val="30"/>
          <w:szCs w:val="30"/>
        </w:rPr>
        <w:t>贯彻执行党的路线、方针、政策和国家法律、法规。确保县委、县政府的各项决定和决策在县城城市社区的实施，研究提出县城城市社区建设工作发展规划和年度工作计划，制定推进社区建设的有关政策措施。</w:t>
      </w:r>
    </w:p>
    <w:p>
      <w:pPr>
        <w:ind w:firstLine="450" w:firstLineChars="150"/>
        <w:rPr>
          <w:rFonts w:hint="eastAsia" w:ascii="仿宋" w:hAnsi="仿宋" w:eastAsia="仿宋"/>
          <w:sz w:val="30"/>
          <w:szCs w:val="30"/>
        </w:rPr>
      </w:pPr>
      <w:r>
        <w:rPr>
          <w:rFonts w:hint="eastAsia" w:ascii="仿宋" w:hAnsi="仿宋" w:eastAsia="仿宋"/>
          <w:sz w:val="30"/>
          <w:szCs w:val="30"/>
        </w:rPr>
        <w:t>执行上级党组织的决议、决定，团结党员干部和群众，加强城市基层党组织建设，统筹协调辖区内各领域党建工作，推进城市社区党建、单位党建、行业党建互联互动，增强基层党组织的政治属性和服务功能。</w:t>
      </w:r>
    </w:p>
    <w:p>
      <w:pPr>
        <w:ind w:firstLine="450" w:firstLineChars="150"/>
        <w:rPr>
          <w:rFonts w:hint="eastAsia" w:ascii="仿宋" w:hAnsi="仿宋" w:eastAsia="仿宋"/>
          <w:sz w:val="30"/>
          <w:szCs w:val="30"/>
        </w:rPr>
      </w:pPr>
      <w:r>
        <w:rPr>
          <w:rFonts w:hint="eastAsia" w:ascii="仿宋" w:hAnsi="仿宋" w:eastAsia="仿宋"/>
          <w:sz w:val="30"/>
          <w:szCs w:val="30"/>
        </w:rPr>
        <w:t>承担城市社区基层组织、纪律检查、宣传统战、党员干部、人才队伍建设等党的建设工作；承担城市社区共青团、妇女、工会、关工等群团工作任务；领导基层治理、团结动员群众，指导社区居委会依法自治。</w:t>
      </w:r>
    </w:p>
    <w:p>
      <w:pPr>
        <w:ind w:firstLine="450" w:firstLineChars="150"/>
        <w:rPr>
          <w:rFonts w:hint="eastAsia" w:ascii="仿宋" w:hAnsi="仿宋" w:eastAsia="仿宋"/>
          <w:sz w:val="30"/>
          <w:szCs w:val="30"/>
        </w:rPr>
      </w:pPr>
      <w:r>
        <w:rPr>
          <w:rFonts w:hint="eastAsia" w:ascii="仿宋" w:hAnsi="仿宋" w:eastAsia="仿宋"/>
          <w:sz w:val="30"/>
          <w:szCs w:val="30"/>
        </w:rPr>
        <w:t>指导社区做好社区居民管理和思想政治、道德法制等宣传教育工作，组织开展社区精神文明创建及文体娱乐活动。</w:t>
      </w:r>
    </w:p>
    <w:p>
      <w:pPr>
        <w:ind w:firstLine="450" w:firstLineChars="150"/>
        <w:rPr>
          <w:rFonts w:hint="eastAsia" w:ascii="仿宋" w:hAnsi="仿宋" w:eastAsia="仿宋"/>
          <w:sz w:val="30"/>
          <w:szCs w:val="30"/>
        </w:rPr>
      </w:pPr>
      <w:r>
        <w:rPr>
          <w:rFonts w:hint="eastAsia" w:ascii="仿宋" w:hAnsi="仿宋" w:eastAsia="仿宋"/>
          <w:sz w:val="30"/>
          <w:szCs w:val="30"/>
        </w:rPr>
        <w:t>负责辖区内社会治安综合治理有关工作，开展平安建设，处理群众来信来访，反映社情民意，化解矛盾纠纷等，做好人民调解、治安防范等工作，保护残疾人、老年人、妇女、儿童的合法权益，维护辖区社会稳定。</w:t>
      </w:r>
    </w:p>
    <w:p>
      <w:pPr>
        <w:ind w:firstLine="450" w:firstLineChars="150"/>
        <w:rPr>
          <w:rFonts w:hint="eastAsia" w:ascii="仿宋" w:hAnsi="仿宋" w:eastAsia="仿宋"/>
          <w:sz w:val="30"/>
          <w:szCs w:val="30"/>
        </w:rPr>
      </w:pPr>
      <w:r>
        <w:rPr>
          <w:rFonts w:hint="eastAsia" w:ascii="仿宋" w:hAnsi="仿宋" w:eastAsia="仿宋"/>
          <w:sz w:val="30"/>
          <w:szCs w:val="30"/>
        </w:rPr>
        <w:t>贯彻落实人力资源和社会保障、民政、科技、教育、文化、体育、卫生健康、民族宗教等领域相关政策法规，加强社区服务建设，组织开展便民利民的社区服务，兴办社会福利事业，配合相关部门做好防灾救灾工作。</w:t>
      </w:r>
    </w:p>
    <w:p>
      <w:pPr>
        <w:ind w:firstLine="450" w:firstLineChars="150"/>
        <w:rPr>
          <w:rFonts w:hint="eastAsia" w:ascii="仿宋" w:hAnsi="仿宋" w:eastAsia="仿宋"/>
          <w:sz w:val="30"/>
          <w:szCs w:val="30"/>
        </w:rPr>
      </w:pPr>
      <w:r>
        <w:rPr>
          <w:rFonts w:hint="eastAsia" w:ascii="仿宋" w:hAnsi="仿宋" w:eastAsia="仿宋"/>
          <w:sz w:val="30"/>
          <w:szCs w:val="30"/>
        </w:rPr>
        <w:t>负责落实武装、征兵、民兵应急处置、抢险救援、处突维稳和双拥任务；负责城市社区生产生活安全监管，参与食品药品安全、文化市场监督管理工作。</w:t>
      </w:r>
    </w:p>
    <w:p>
      <w:pPr>
        <w:ind w:firstLine="450" w:firstLineChars="150"/>
        <w:rPr>
          <w:rFonts w:hint="eastAsia" w:ascii="仿宋" w:hAnsi="仿宋" w:eastAsia="仿宋"/>
          <w:sz w:val="30"/>
          <w:szCs w:val="30"/>
        </w:rPr>
      </w:pPr>
      <w:r>
        <w:rPr>
          <w:rFonts w:hint="eastAsia" w:ascii="仿宋" w:hAnsi="仿宋" w:eastAsia="仿宋"/>
          <w:sz w:val="30"/>
          <w:szCs w:val="30"/>
        </w:rPr>
        <w:t>依法(授权)行使各项行政管理职能，协调解决社区居民生活中的热点难点问题，负责社区基础设施建 承担辖区内社区管理等地区性、综合性社会管理职能。</w:t>
      </w:r>
    </w:p>
    <w:p>
      <w:pPr>
        <w:ind w:firstLine="450" w:firstLineChars="150"/>
        <w:rPr>
          <w:rFonts w:hint="eastAsia" w:ascii="仿宋" w:hAnsi="仿宋" w:eastAsia="仿宋"/>
          <w:sz w:val="30"/>
          <w:szCs w:val="30"/>
        </w:rPr>
      </w:pPr>
      <w:r>
        <w:rPr>
          <w:rFonts w:hint="eastAsia" w:ascii="仿宋" w:hAnsi="仿宋" w:eastAsia="仿宋"/>
          <w:sz w:val="30"/>
          <w:szCs w:val="30"/>
        </w:rPr>
        <w:t>完成县委、县政府交办的其他工作任务。</w:t>
      </w:r>
    </w:p>
    <w:p>
      <w:pPr>
        <w:ind w:firstLine="600" w:firstLineChars="200"/>
        <w:jc w:val="left"/>
        <w:rPr>
          <w:rFonts w:hint="eastAsia" w:ascii="仿宋" w:hAnsi="仿宋" w:eastAsia="仿宋"/>
          <w:sz w:val="30"/>
          <w:szCs w:val="30"/>
        </w:rPr>
      </w:pPr>
      <w:r>
        <w:rPr>
          <w:rFonts w:ascii="仿宋" w:hAnsi="仿宋" w:eastAsia="仿宋"/>
          <w:sz w:val="30"/>
          <w:szCs w:val="30"/>
        </w:rPr>
        <w:t>2．机构</w:t>
      </w:r>
      <w:r>
        <w:rPr>
          <w:rFonts w:hint="eastAsia" w:ascii="仿宋" w:hAnsi="仿宋" w:eastAsia="仿宋"/>
          <w:sz w:val="30"/>
          <w:szCs w:val="30"/>
        </w:rPr>
        <w:t>、人员</w:t>
      </w:r>
      <w:r>
        <w:rPr>
          <w:rFonts w:ascii="仿宋" w:hAnsi="仿宋" w:eastAsia="仿宋"/>
          <w:sz w:val="30"/>
          <w:szCs w:val="30"/>
        </w:rPr>
        <w:t>情况</w:t>
      </w:r>
      <w:r>
        <w:rPr>
          <w:rFonts w:hint="eastAsia" w:ascii="仿宋" w:hAnsi="仿宋" w:eastAsia="仿宋"/>
          <w:sz w:val="30"/>
          <w:szCs w:val="30"/>
        </w:rPr>
        <w:t>。</w:t>
      </w:r>
    </w:p>
    <w:p>
      <w:pPr>
        <w:ind w:firstLine="600" w:firstLineChars="200"/>
        <w:jc w:val="left"/>
        <w:rPr>
          <w:rFonts w:hint="eastAsia" w:ascii="仿宋" w:hAnsi="仿宋" w:eastAsia="仿宋"/>
          <w:sz w:val="30"/>
          <w:szCs w:val="30"/>
        </w:rPr>
      </w:pPr>
      <w:r>
        <w:rPr>
          <w:rFonts w:hint="eastAsia" w:ascii="仿宋" w:hAnsi="仿宋" w:eastAsia="仿宋"/>
          <w:sz w:val="30"/>
          <w:szCs w:val="30"/>
        </w:rPr>
        <w:t>本部门2021年年末实有人数29人，其中在职人员29人，离休人员0人，退休人员0人；年末其他人员10人；年末学生人数0人，同比上年增加3人。</w:t>
      </w:r>
    </w:p>
    <w:p>
      <w:pPr>
        <w:pStyle w:val="3"/>
        <w:shd w:val="clear" w:color="auto" w:fill="FFFFFF"/>
        <w:spacing w:before="0" w:beforeAutospacing="0" w:after="0" w:afterAutospacing="0" w:line="444" w:lineRule="atLeast"/>
        <w:ind w:firstLine="516"/>
        <w:jc w:val="both"/>
        <w:rPr>
          <w:rFonts w:ascii="仿宋" w:hAnsi="仿宋" w:eastAsia="仿宋" w:cstheme="minorBidi"/>
          <w:kern w:val="2"/>
          <w:sz w:val="30"/>
          <w:szCs w:val="30"/>
        </w:rPr>
      </w:pPr>
      <w:r>
        <w:rPr>
          <w:rFonts w:hint="eastAsia" w:ascii="仿宋" w:hAnsi="仿宋" w:eastAsia="仿宋" w:cstheme="minorBidi"/>
          <w:kern w:val="2"/>
          <w:sz w:val="30"/>
          <w:szCs w:val="30"/>
        </w:rPr>
        <w:t>（二）部门绩效目标设立情况</w:t>
      </w:r>
    </w:p>
    <w:p>
      <w:pPr>
        <w:pStyle w:val="3"/>
        <w:shd w:val="clear" w:color="auto" w:fill="FFFFFF"/>
        <w:spacing w:before="0" w:beforeAutospacing="0" w:after="0" w:afterAutospacing="0" w:line="444" w:lineRule="atLeast"/>
        <w:ind w:firstLine="516"/>
        <w:jc w:val="both"/>
        <w:rPr>
          <w:rFonts w:hint="eastAsia" w:ascii="仿宋" w:hAnsi="仿宋" w:eastAsia="仿宋" w:cstheme="minorBidi"/>
          <w:kern w:val="2"/>
          <w:sz w:val="30"/>
          <w:szCs w:val="30"/>
        </w:rPr>
      </w:pPr>
      <w:r>
        <w:rPr>
          <w:rFonts w:hint="eastAsia" w:ascii="仿宋" w:hAnsi="仿宋" w:eastAsia="仿宋" w:cstheme="minorBidi"/>
          <w:kern w:val="2"/>
          <w:sz w:val="30"/>
          <w:szCs w:val="30"/>
        </w:rPr>
        <w:t>根据城市社区管委会主要工作职责，2021年分别设置绩效总目标和绩效具体目标：</w:t>
      </w:r>
    </w:p>
    <w:p>
      <w:pPr>
        <w:pStyle w:val="3"/>
        <w:shd w:val="clear" w:color="auto" w:fill="FFFFFF"/>
        <w:spacing w:before="0" w:beforeAutospacing="0" w:after="0" w:afterAutospacing="0" w:line="444" w:lineRule="atLeast"/>
        <w:ind w:firstLine="516"/>
        <w:jc w:val="both"/>
        <w:rPr>
          <w:rFonts w:hint="eastAsia" w:ascii="仿宋" w:hAnsi="仿宋" w:eastAsia="仿宋" w:cstheme="minorBidi"/>
          <w:kern w:val="2"/>
          <w:sz w:val="30"/>
          <w:szCs w:val="30"/>
        </w:rPr>
      </w:pPr>
      <w:r>
        <w:rPr>
          <w:rFonts w:ascii="仿宋" w:hAnsi="仿宋" w:eastAsia="仿宋" w:cstheme="minorBidi"/>
          <w:kern w:val="2"/>
          <w:sz w:val="30"/>
          <w:szCs w:val="30"/>
        </w:rPr>
        <w:t>1．部门绩效总目标：</w:t>
      </w:r>
      <w:r>
        <w:rPr>
          <w:rFonts w:hint="eastAsia" w:ascii="仿宋" w:hAnsi="仿宋" w:eastAsia="仿宋" w:cstheme="minorBidi"/>
          <w:kern w:val="2"/>
          <w:sz w:val="30"/>
          <w:szCs w:val="30"/>
        </w:rPr>
        <w:t>按照国家政策、法规规定和本部门实际情况，建立健全财务基础管理制度和约束机制，依法、有效地使用财政资金，提高财政资金使用效率，在完成本部门职能目标中合理分配人、财、物，使之达到较高的工作效率和水平。</w:t>
      </w:r>
    </w:p>
    <w:p>
      <w:pPr>
        <w:pStyle w:val="3"/>
        <w:shd w:val="clear" w:color="auto" w:fill="FFFFFF"/>
        <w:spacing w:before="0" w:beforeAutospacing="0" w:after="0" w:afterAutospacing="0" w:line="444" w:lineRule="atLeast"/>
        <w:ind w:firstLine="516"/>
        <w:jc w:val="both"/>
        <w:rPr>
          <w:rFonts w:hint="eastAsia" w:ascii="仿宋" w:hAnsi="仿宋" w:eastAsia="仿宋" w:cstheme="minorBidi"/>
          <w:kern w:val="2"/>
          <w:sz w:val="30"/>
          <w:szCs w:val="30"/>
        </w:rPr>
      </w:pPr>
      <w:r>
        <w:rPr>
          <w:rFonts w:ascii="仿宋" w:hAnsi="仿宋" w:eastAsia="仿宋" w:cstheme="minorBidi"/>
          <w:kern w:val="2"/>
          <w:sz w:val="30"/>
          <w:szCs w:val="30"/>
        </w:rPr>
        <w:t>2．绩效具体目标：</w:t>
      </w:r>
    </w:p>
    <w:p>
      <w:pPr>
        <w:pStyle w:val="3"/>
        <w:shd w:val="clear" w:color="auto" w:fill="FFFFFF"/>
        <w:spacing w:before="0" w:beforeAutospacing="0" w:after="0" w:afterAutospacing="0" w:line="444" w:lineRule="atLeast"/>
        <w:ind w:firstLine="516"/>
        <w:jc w:val="both"/>
        <w:rPr>
          <w:rFonts w:hint="eastAsia" w:ascii="仿宋" w:hAnsi="仿宋" w:eastAsia="仿宋" w:cstheme="minorBidi"/>
          <w:kern w:val="2"/>
          <w:sz w:val="30"/>
          <w:szCs w:val="30"/>
        </w:rPr>
      </w:pPr>
      <w:r>
        <w:rPr>
          <w:rFonts w:hint="eastAsia" w:ascii="仿宋" w:hAnsi="仿宋" w:eastAsia="仿宋" w:cstheme="minorBidi"/>
          <w:kern w:val="2"/>
          <w:sz w:val="30"/>
          <w:szCs w:val="30"/>
        </w:rPr>
        <w:t>（1）按时支付2021年办公场所租赁费；</w:t>
      </w:r>
    </w:p>
    <w:p>
      <w:pPr>
        <w:pStyle w:val="3"/>
        <w:shd w:val="clear" w:color="auto" w:fill="FFFFFF"/>
        <w:spacing w:before="0" w:beforeAutospacing="0" w:after="0" w:afterAutospacing="0"/>
        <w:ind w:firstLine="516"/>
        <w:rPr>
          <w:rFonts w:hint="eastAsia" w:ascii="仿宋" w:hAnsi="仿宋" w:eastAsia="仿宋" w:cstheme="minorBidi"/>
          <w:kern w:val="2"/>
          <w:sz w:val="30"/>
          <w:szCs w:val="30"/>
        </w:rPr>
      </w:pPr>
      <w:r>
        <w:rPr>
          <w:rFonts w:hint="eastAsia" w:ascii="仿宋" w:hAnsi="仿宋" w:eastAsia="仿宋" w:cstheme="minorBidi"/>
          <w:kern w:val="2"/>
          <w:sz w:val="30"/>
          <w:szCs w:val="30"/>
        </w:rPr>
        <w:t>（2）及时落实市委市政府安排的各项工作，保证资金到位率和运行情况。</w:t>
      </w:r>
    </w:p>
    <w:p>
      <w:pPr>
        <w:snapToGrid w:val="0"/>
        <w:spacing w:line="520" w:lineRule="exact"/>
        <w:ind w:firstLine="450" w:firstLineChars="150"/>
        <w:rPr>
          <w:rFonts w:hint="eastAsia" w:ascii="仿宋" w:hAnsi="仿宋" w:eastAsia="仿宋"/>
          <w:sz w:val="30"/>
          <w:szCs w:val="30"/>
        </w:rPr>
      </w:pPr>
      <w:r>
        <w:rPr>
          <w:rFonts w:ascii="仿宋" w:hAnsi="仿宋" w:eastAsia="仿宋"/>
          <w:sz w:val="30"/>
          <w:szCs w:val="30"/>
        </w:rPr>
        <w:t>（</w:t>
      </w:r>
      <w:r>
        <w:rPr>
          <w:rFonts w:hint="eastAsia" w:ascii="仿宋" w:hAnsi="仿宋" w:eastAsia="仿宋"/>
          <w:sz w:val="30"/>
          <w:szCs w:val="30"/>
        </w:rPr>
        <w:t>三</w:t>
      </w:r>
      <w:r>
        <w:rPr>
          <w:rFonts w:ascii="仿宋" w:hAnsi="仿宋" w:eastAsia="仿宋"/>
          <w:sz w:val="30"/>
          <w:szCs w:val="30"/>
        </w:rPr>
        <w:t>）</w:t>
      </w:r>
      <w:r>
        <w:rPr>
          <w:rFonts w:hint="eastAsia" w:ascii="仿宋" w:hAnsi="仿宋" w:eastAsia="仿宋"/>
          <w:sz w:val="30"/>
          <w:szCs w:val="30"/>
        </w:rPr>
        <w:t>部门整体收支情况</w:t>
      </w:r>
      <w:r>
        <w:rPr>
          <w:rFonts w:ascii="仿宋" w:hAnsi="仿宋" w:eastAsia="仿宋"/>
          <w:sz w:val="30"/>
          <w:szCs w:val="30"/>
        </w:rPr>
        <w:t>。</w:t>
      </w:r>
    </w:p>
    <w:p>
      <w:pPr>
        <w:ind w:firstLine="600" w:firstLineChars="200"/>
        <w:jc w:val="left"/>
        <w:rPr>
          <w:rFonts w:ascii="黑体" w:hAnsi="黑体" w:eastAsia="黑体"/>
          <w:sz w:val="30"/>
          <w:szCs w:val="30"/>
        </w:rPr>
      </w:pPr>
      <w:r>
        <w:rPr>
          <w:rFonts w:hint="eastAsia" w:ascii="仿宋" w:hAnsi="仿宋" w:eastAsia="仿宋"/>
          <w:sz w:val="30"/>
          <w:szCs w:val="30"/>
        </w:rPr>
        <w:t>1.收入预算安排情况说明。</w:t>
      </w:r>
    </w:p>
    <w:p>
      <w:pPr>
        <w:ind w:firstLine="600" w:firstLineChars="200"/>
        <w:jc w:val="left"/>
        <w:rPr>
          <w:rFonts w:hint="eastAsia" w:ascii="仿宋" w:hAnsi="仿宋" w:eastAsia="仿宋"/>
          <w:sz w:val="30"/>
          <w:szCs w:val="30"/>
        </w:rPr>
      </w:pPr>
      <w:r>
        <w:rPr>
          <w:rFonts w:hint="eastAsia" w:ascii="仿宋" w:hAnsi="仿宋" w:eastAsia="仿宋"/>
          <w:sz w:val="30"/>
          <w:szCs w:val="30"/>
        </w:rPr>
        <w:t>本部门2021年度收入总计</w:t>
      </w:r>
      <w:r>
        <w:rPr>
          <w:rFonts w:hint="eastAsia" w:ascii="仿宋" w:hAnsi="仿宋" w:eastAsia="仿宋"/>
          <w:sz w:val="30"/>
          <w:szCs w:val="30"/>
          <w:lang w:val="en-US" w:eastAsia="zh-CN"/>
        </w:rPr>
        <w:t>1217.62</w:t>
      </w:r>
      <w:r>
        <w:rPr>
          <w:rFonts w:hint="eastAsia" w:ascii="仿宋" w:hAnsi="仿宋" w:eastAsia="仿宋"/>
          <w:sz w:val="30"/>
          <w:szCs w:val="30"/>
        </w:rPr>
        <w:t>万元，其中年初结转和结余0万元；本年收入合计</w:t>
      </w:r>
      <w:r>
        <w:rPr>
          <w:rFonts w:hint="eastAsia" w:ascii="仿宋" w:hAnsi="仿宋" w:eastAsia="仿宋"/>
          <w:sz w:val="30"/>
          <w:szCs w:val="30"/>
          <w:lang w:val="en-US" w:eastAsia="zh-CN"/>
        </w:rPr>
        <w:t>1217.62</w:t>
      </w:r>
      <w:r>
        <w:rPr>
          <w:rFonts w:hint="eastAsia" w:ascii="仿宋" w:hAnsi="仿宋" w:eastAsia="仿宋"/>
          <w:sz w:val="30"/>
          <w:szCs w:val="30"/>
        </w:rPr>
        <w:t>万元。</w:t>
      </w:r>
    </w:p>
    <w:p>
      <w:pPr>
        <w:ind w:firstLine="600" w:firstLineChars="200"/>
        <w:jc w:val="left"/>
        <w:rPr>
          <w:rFonts w:hint="eastAsia" w:ascii="仿宋" w:hAnsi="仿宋" w:eastAsia="仿宋"/>
          <w:sz w:val="30"/>
          <w:szCs w:val="30"/>
        </w:rPr>
      </w:pPr>
      <w:r>
        <w:rPr>
          <w:rFonts w:hint="eastAsia" w:ascii="仿宋" w:hAnsi="仿宋" w:eastAsia="仿宋"/>
          <w:sz w:val="30"/>
          <w:szCs w:val="30"/>
        </w:rPr>
        <w:t>本年收入的具体构成为：财政拨款收入</w:t>
      </w:r>
      <w:r>
        <w:rPr>
          <w:rFonts w:hint="eastAsia" w:ascii="仿宋" w:hAnsi="仿宋" w:eastAsia="仿宋"/>
          <w:sz w:val="30"/>
          <w:szCs w:val="30"/>
          <w:lang w:val="en-US" w:eastAsia="zh-CN"/>
        </w:rPr>
        <w:t>1217.62</w:t>
      </w:r>
      <w:r>
        <w:rPr>
          <w:rFonts w:hint="eastAsia" w:ascii="仿宋" w:hAnsi="仿宋" w:eastAsia="仿宋"/>
          <w:sz w:val="30"/>
          <w:szCs w:val="30"/>
        </w:rPr>
        <w:t xml:space="preserve">万元，占100%；事业收入0万元，占0%；经营收入0万元，占0%；其他收入0万元，占0%。  </w:t>
      </w:r>
    </w:p>
    <w:p>
      <w:pPr>
        <w:ind w:firstLine="600" w:firstLineChars="200"/>
        <w:jc w:val="left"/>
        <w:rPr>
          <w:rFonts w:hint="eastAsia" w:ascii="黑体" w:hAnsi="黑体" w:eastAsia="黑体"/>
          <w:sz w:val="30"/>
          <w:szCs w:val="30"/>
        </w:rPr>
      </w:pPr>
      <w:r>
        <w:rPr>
          <w:rFonts w:hint="eastAsia" w:ascii="仿宋" w:hAnsi="仿宋" w:eastAsia="仿宋"/>
          <w:sz w:val="30"/>
          <w:szCs w:val="30"/>
        </w:rPr>
        <w:t>2.支出预算安排情况说明。</w:t>
      </w:r>
    </w:p>
    <w:p>
      <w:pPr>
        <w:ind w:firstLine="600" w:firstLineChars="200"/>
        <w:jc w:val="left"/>
        <w:rPr>
          <w:rFonts w:hint="eastAsia" w:ascii="仿宋" w:hAnsi="仿宋" w:eastAsia="仿宋"/>
          <w:color w:val="FF0000"/>
          <w:sz w:val="30"/>
          <w:szCs w:val="30"/>
        </w:rPr>
      </w:pPr>
      <w:r>
        <w:rPr>
          <w:rFonts w:hint="eastAsia" w:ascii="仿宋" w:hAnsi="仿宋" w:eastAsia="仿宋"/>
          <w:sz w:val="30"/>
          <w:szCs w:val="30"/>
        </w:rPr>
        <w:t>本部门2021年度支出总计</w:t>
      </w:r>
      <w:r>
        <w:rPr>
          <w:rFonts w:hint="eastAsia" w:ascii="仿宋" w:hAnsi="仿宋" w:eastAsia="仿宋"/>
          <w:sz w:val="30"/>
          <w:szCs w:val="30"/>
          <w:lang w:val="en-US" w:eastAsia="zh-CN"/>
        </w:rPr>
        <w:t>1217.62</w:t>
      </w:r>
      <w:r>
        <w:rPr>
          <w:rFonts w:hint="eastAsia" w:ascii="仿宋" w:hAnsi="仿宋" w:eastAsia="仿宋"/>
          <w:sz w:val="30"/>
          <w:szCs w:val="30"/>
        </w:rPr>
        <w:t>万元，其中年末结转和结余0万元；本年支出合计</w:t>
      </w:r>
      <w:r>
        <w:rPr>
          <w:rFonts w:hint="eastAsia" w:ascii="仿宋" w:hAnsi="仿宋" w:eastAsia="仿宋"/>
          <w:sz w:val="30"/>
          <w:szCs w:val="30"/>
          <w:lang w:val="en-US" w:eastAsia="zh-CN"/>
        </w:rPr>
        <w:t>1217.62</w:t>
      </w:r>
      <w:r>
        <w:rPr>
          <w:rFonts w:hint="eastAsia" w:ascii="仿宋" w:hAnsi="仿宋" w:eastAsia="仿宋"/>
          <w:sz w:val="30"/>
          <w:szCs w:val="30"/>
        </w:rPr>
        <w:t>万元。</w:t>
      </w:r>
    </w:p>
    <w:p>
      <w:pPr>
        <w:ind w:firstLine="600" w:firstLineChars="200"/>
        <w:jc w:val="left"/>
        <w:rPr>
          <w:rFonts w:hint="eastAsia" w:ascii="仿宋" w:hAnsi="仿宋" w:eastAsia="仿宋"/>
          <w:sz w:val="30"/>
          <w:szCs w:val="30"/>
        </w:rPr>
      </w:pPr>
      <w:r>
        <w:rPr>
          <w:rFonts w:hint="eastAsia" w:ascii="仿宋" w:hAnsi="仿宋" w:eastAsia="仿宋"/>
          <w:sz w:val="30"/>
          <w:szCs w:val="30"/>
        </w:rPr>
        <w:t>本年支出的具体构成为：一般公共服务支出</w:t>
      </w:r>
      <w:r>
        <w:rPr>
          <w:rFonts w:hint="eastAsia" w:ascii="仿宋" w:hAnsi="仿宋" w:eastAsia="仿宋"/>
          <w:sz w:val="30"/>
          <w:szCs w:val="30"/>
          <w:lang w:val="en-US" w:eastAsia="zh-CN"/>
        </w:rPr>
        <w:t>985.99</w:t>
      </w:r>
      <w:r>
        <w:rPr>
          <w:rFonts w:hint="eastAsia" w:ascii="仿宋" w:hAnsi="仿宋" w:eastAsia="仿宋"/>
          <w:sz w:val="30"/>
          <w:szCs w:val="30"/>
        </w:rPr>
        <w:t>万元，占</w:t>
      </w:r>
      <w:r>
        <w:rPr>
          <w:rFonts w:hint="eastAsia" w:ascii="仿宋" w:hAnsi="仿宋" w:eastAsia="仿宋"/>
          <w:sz w:val="30"/>
          <w:szCs w:val="30"/>
          <w:lang w:val="en-US" w:eastAsia="zh-CN"/>
        </w:rPr>
        <w:t>80.98</w:t>
      </w:r>
      <w:r>
        <w:rPr>
          <w:rFonts w:hint="eastAsia" w:ascii="仿宋" w:hAnsi="仿宋" w:eastAsia="仿宋"/>
          <w:sz w:val="30"/>
          <w:szCs w:val="30"/>
        </w:rPr>
        <w:t>%；</w:t>
      </w:r>
      <w:r>
        <w:rPr>
          <w:rFonts w:hint="eastAsia" w:ascii="仿宋" w:hAnsi="仿宋" w:eastAsia="仿宋"/>
          <w:sz w:val="30"/>
          <w:szCs w:val="30"/>
          <w:lang w:eastAsia="zh-CN"/>
        </w:rPr>
        <w:t>社会保障和就业支出</w:t>
      </w:r>
      <w:r>
        <w:rPr>
          <w:rFonts w:hint="eastAsia" w:ascii="仿宋" w:hAnsi="仿宋" w:eastAsia="仿宋"/>
          <w:sz w:val="30"/>
          <w:szCs w:val="30"/>
          <w:lang w:val="en-US" w:eastAsia="zh-CN"/>
        </w:rPr>
        <w:t>5.43万元，</w:t>
      </w:r>
      <w:r>
        <w:rPr>
          <w:rFonts w:hint="eastAsia" w:ascii="仿宋" w:hAnsi="仿宋" w:eastAsia="仿宋"/>
          <w:sz w:val="30"/>
          <w:szCs w:val="30"/>
        </w:rPr>
        <w:t>占</w:t>
      </w:r>
      <w:r>
        <w:rPr>
          <w:rFonts w:hint="eastAsia" w:ascii="仿宋" w:hAnsi="仿宋" w:eastAsia="仿宋"/>
          <w:sz w:val="30"/>
          <w:szCs w:val="30"/>
          <w:lang w:val="en-US" w:eastAsia="zh-CN"/>
        </w:rPr>
        <w:t>0.44</w:t>
      </w:r>
      <w:r>
        <w:rPr>
          <w:rFonts w:hint="eastAsia" w:ascii="仿宋" w:hAnsi="仿宋" w:eastAsia="仿宋"/>
          <w:sz w:val="30"/>
          <w:szCs w:val="30"/>
        </w:rPr>
        <w:t>%</w:t>
      </w:r>
      <w:r>
        <w:rPr>
          <w:rFonts w:hint="eastAsia" w:ascii="仿宋" w:hAnsi="仿宋" w:eastAsia="仿宋"/>
          <w:sz w:val="30"/>
          <w:szCs w:val="30"/>
          <w:lang w:val="en-US" w:eastAsia="zh-CN"/>
        </w:rPr>
        <w:t>；</w:t>
      </w:r>
      <w:r>
        <w:rPr>
          <w:rFonts w:hint="eastAsia" w:ascii="仿宋" w:hAnsi="仿宋" w:eastAsia="仿宋"/>
          <w:sz w:val="30"/>
          <w:szCs w:val="30"/>
        </w:rPr>
        <w:t>卫生健康支出</w:t>
      </w:r>
      <w:r>
        <w:rPr>
          <w:rFonts w:hint="eastAsia" w:ascii="仿宋" w:hAnsi="仿宋" w:eastAsia="仿宋"/>
          <w:sz w:val="30"/>
          <w:szCs w:val="30"/>
          <w:lang w:val="en-US" w:eastAsia="zh-CN"/>
        </w:rPr>
        <w:t>5.09</w:t>
      </w:r>
      <w:r>
        <w:rPr>
          <w:rFonts w:hint="eastAsia" w:ascii="仿宋" w:hAnsi="仿宋" w:eastAsia="仿宋"/>
          <w:sz w:val="30"/>
          <w:szCs w:val="30"/>
        </w:rPr>
        <w:t>万元，占0.</w:t>
      </w:r>
      <w:r>
        <w:rPr>
          <w:rFonts w:hint="eastAsia" w:ascii="仿宋" w:hAnsi="仿宋" w:eastAsia="仿宋"/>
          <w:sz w:val="30"/>
          <w:szCs w:val="30"/>
          <w:lang w:val="en-US" w:eastAsia="zh-CN"/>
        </w:rPr>
        <w:t>42</w:t>
      </w:r>
      <w:r>
        <w:rPr>
          <w:rFonts w:hint="eastAsia" w:ascii="仿宋" w:hAnsi="仿宋" w:eastAsia="仿宋"/>
          <w:sz w:val="30"/>
          <w:szCs w:val="30"/>
        </w:rPr>
        <w:t>%；</w:t>
      </w:r>
      <w:r>
        <w:rPr>
          <w:rFonts w:hint="eastAsia" w:ascii="仿宋" w:hAnsi="仿宋" w:eastAsia="仿宋"/>
          <w:sz w:val="30"/>
          <w:szCs w:val="30"/>
          <w:lang w:eastAsia="zh-CN"/>
        </w:rPr>
        <w:t>城乡社区支出</w:t>
      </w:r>
      <w:r>
        <w:rPr>
          <w:rFonts w:hint="eastAsia" w:ascii="仿宋" w:hAnsi="仿宋" w:eastAsia="仿宋"/>
          <w:sz w:val="30"/>
          <w:szCs w:val="30"/>
          <w:lang w:val="en-US" w:eastAsia="zh-CN"/>
        </w:rPr>
        <w:t>138.08万元，</w:t>
      </w:r>
      <w:r>
        <w:rPr>
          <w:rFonts w:hint="eastAsia" w:ascii="仿宋" w:hAnsi="仿宋" w:eastAsia="仿宋"/>
          <w:sz w:val="30"/>
          <w:szCs w:val="30"/>
        </w:rPr>
        <w:t>占</w:t>
      </w:r>
      <w:r>
        <w:rPr>
          <w:rFonts w:hint="eastAsia" w:ascii="仿宋" w:hAnsi="仿宋" w:eastAsia="仿宋"/>
          <w:sz w:val="30"/>
          <w:szCs w:val="30"/>
          <w:lang w:val="en-US" w:eastAsia="zh-CN"/>
        </w:rPr>
        <w:t>11.34</w:t>
      </w:r>
      <w:r>
        <w:rPr>
          <w:rFonts w:hint="eastAsia" w:ascii="仿宋" w:hAnsi="仿宋" w:eastAsia="仿宋"/>
          <w:sz w:val="30"/>
          <w:szCs w:val="30"/>
        </w:rPr>
        <w:t>%</w:t>
      </w:r>
      <w:r>
        <w:rPr>
          <w:rFonts w:hint="eastAsia" w:ascii="仿宋" w:hAnsi="仿宋" w:eastAsia="仿宋"/>
          <w:sz w:val="30"/>
          <w:szCs w:val="30"/>
          <w:lang w:val="en-US" w:eastAsia="zh-CN"/>
        </w:rPr>
        <w:t>；</w:t>
      </w:r>
      <w:r>
        <w:rPr>
          <w:rFonts w:hint="eastAsia" w:ascii="仿宋" w:hAnsi="仿宋" w:eastAsia="仿宋"/>
          <w:sz w:val="30"/>
          <w:szCs w:val="30"/>
        </w:rPr>
        <w:t>农林水支出7</w:t>
      </w:r>
      <w:r>
        <w:rPr>
          <w:rFonts w:hint="eastAsia" w:ascii="仿宋" w:hAnsi="仿宋" w:eastAsia="仿宋"/>
          <w:sz w:val="30"/>
          <w:szCs w:val="30"/>
          <w:lang w:val="en-US" w:eastAsia="zh-CN"/>
        </w:rPr>
        <w:t>2.90</w:t>
      </w:r>
      <w:r>
        <w:rPr>
          <w:rFonts w:hint="eastAsia" w:ascii="仿宋" w:hAnsi="仿宋" w:eastAsia="仿宋"/>
          <w:sz w:val="30"/>
          <w:szCs w:val="30"/>
        </w:rPr>
        <w:t>万元，占</w:t>
      </w:r>
      <w:r>
        <w:rPr>
          <w:rFonts w:hint="eastAsia" w:ascii="仿宋" w:hAnsi="仿宋" w:eastAsia="仿宋"/>
          <w:sz w:val="30"/>
          <w:szCs w:val="30"/>
          <w:lang w:val="en-US" w:eastAsia="zh-CN"/>
        </w:rPr>
        <w:t>5.99</w:t>
      </w:r>
      <w:r>
        <w:rPr>
          <w:rFonts w:hint="eastAsia" w:ascii="仿宋" w:hAnsi="仿宋" w:eastAsia="仿宋"/>
          <w:sz w:val="30"/>
          <w:szCs w:val="30"/>
        </w:rPr>
        <w:t>%；</w:t>
      </w:r>
      <w:r>
        <w:rPr>
          <w:rFonts w:hint="eastAsia" w:ascii="仿宋" w:hAnsi="仿宋" w:eastAsia="仿宋"/>
          <w:sz w:val="30"/>
          <w:szCs w:val="30"/>
          <w:lang w:eastAsia="zh-CN"/>
        </w:rPr>
        <w:t>住房保障支出</w:t>
      </w:r>
      <w:r>
        <w:rPr>
          <w:rFonts w:hint="eastAsia" w:ascii="仿宋" w:hAnsi="仿宋" w:eastAsia="仿宋"/>
          <w:sz w:val="30"/>
          <w:szCs w:val="30"/>
          <w:lang w:val="en-US" w:eastAsia="zh-CN"/>
        </w:rPr>
        <w:t>10.13万元，</w:t>
      </w:r>
      <w:r>
        <w:rPr>
          <w:rFonts w:hint="eastAsia" w:ascii="仿宋" w:hAnsi="仿宋" w:eastAsia="仿宋"/>
          <w:sz w:val="30"/>
          <w:szCs w:val="30"/>
        </w:rPr>
        <w:t>占0.</w:t>
      </w:r>
      <w:r>
        <w:rPr>
          <w:rFonts w:hint="eastAsia" w:ascii="仿宋" w:hAnsi="仿宋" w:eastAsia="仿宋"/>
          <w:sz w:val="30"/>
          <w:szCs w:val="30"/>
          <w:lang w:val="en-US" w:eastAsia="zh-CN"/>
        </w:rPr>
        <w:t>83</w:t>
      </w:r>
      <w:r>
        <w:rPr>
          <w:rFonts w:hint="eastAsia" w:ascii="仿宋" w:hAnsi="仿宋" w:eastAsia="仿宋"/>
          <w:sz w:val="30"/>
          <w:szCs w:val="30"/>
        </w:rPr>
        <w:t>%。</w:t>
      </w:r>
      <w:bookmarkStart w:id="0" w:name="_GoBack"/>
      <w:bookmarkEnd w:id="0"/>
    </w:p>
    <w:p>
      <w:pPr>
        <w:pStyle w:val="3"/>
        <w:shd w:val="clear" w:color="auto" w:fill="FFFFFF"/>
        <w:spacing w:before="0" w:beforeAutospacing="0" w:after="0" w:afterAutospacing="0" w:line="444" w:lineRule="atLeast"/>
        <w:ind w:firstLine="516"/>
        <w:jc w:val="both"/>
        <w:rPr>
          <w:rFonts w:ascii="仿宋" w:hAnsi="仿宋" w:eastAsia="仿宋" w:cstheme="minorBidi"/>
          <w:kern w:val="2"/>
          <w:sz w:val="30"/>
          <w:szCs w:val="30"/>
        </w:rPr>
      </w:pPr>
      <w:r>
        <w:rPr>
          <w:rFonts w:hint="eastAsia" w:ascii="仿宋" w:hAnsi="仿宋" w:eastAsia="仿宋" w:cstheme="minorBidi"/>
          <w:kern w:val="2"/>
          <w:sz w:val="30"/>
          <w:szCs w:val="30"/>
        </w:rPr>
        <w:t>（四）部门预算管理制度建设情况</w:t>
      </w:r>
    </w:p>
    <w:p>
      <w:pPr>
        <w:pStyle w:val="3"/>
        <w:shd w:val="clear" w:color="auto" w:fill="FFFFFF"/>
        <w:spacing w:before="0" w:beforeAutospacing="0" w:after="0" w:afterAutospacing="0" w:line="444" w:lineRule="atLeast"/>
        <w:ind w:firstLine="750" w:firstLineChars="250"/>
        <w:jc w:val="both"/>
        <w:rPr>
          <w:rFonts w:hint="eastAsia" w:ascii="仿宋" w:hAnsi="仿宋" w:eastAsia="仿宋" w:cstheme="minorBidi"/>
          <w:kern w:val="2"/>
          <w:sz w:val="30"/>
          <w:szCs w:val="30"/>
        </w:rPr>
      </w:pPr>
      <w:r>
        <w:rPr>
          <w:rFonts w:hint="eastAsia" w:ascii="仿宋" w:hAnsi="仿宋" w:eastAsia="仿宋" w:cstheme="minorBidi"/>
          <w:kern w:val="2"/>
          <w:sz w:val="30"/>
          <w:szCs w:val="30"/>
        </w:rPr>
        <w:t>除遵守《中华人民共和国会计法》、《中华人民共和国预算法》、《行政单位财务规则》等国家法律法规外，制定并实施龙南市城市社区管委会内部管理制度。</w:t>
      </w:r>
    </w:p>
    <w:p>
      <w:pPr>
        <w:pStyle w:val="3"/>
        <w:shd w:val="clear" w:color="auto" w:fill="FFFFFF"/>
        <w:spacing w:before="0" w:beforeAutospacing="0" w:after="0" w:afterAutospacing="0" w:line="444" w:lineRule="atLeast"/>
        <w:ind w:firstLine="516"/>
        <w:jc w:val="both"/>
        <w:rPr>
          <w:rFonts w:ascii="仿宋" w:hAnsi="仿宋" w:eastAsia="仿宋" w:cstheme="minorBidi"/>
          <w:kern w:val="2"/>
          <w:sz w:val="30"/>
          <w:szCs w:val="30"/>
        </w:rPr>
      </w:pPr>
      <w:r>
        <w:rPr>
          <w:rFonts w:hint="eastAsia" w:ascii="仿宋" w:hAnsi="仿宋" w:eastAsia="仿宋" w:cstheme="minorBidi"/>
          <w:kern w:val="2"/>
          <w:sz w:val="30"/>
          <w:szCs w:val="30"/>
        </w:rPr>
        <w:t>二、绩效自评工作情况</w:t>
      </w:r>
    </w:p>
    <w:p>
      <w:pPr>
        <w:pStyle w:val="3"/>
        <w:shd w:val="clear" w:color="auto" w:fill="FFFFFF"/>
        <w:spacing w:before="0" w:beforeAutospacing="0" w:after="0" w:afterAutospacing="0" w:line="444" w:lineRule="atLeast"/>
        <w:ind w:firstLine="516"/>
        <w:jc w:val="both"/>
        <w:rPr>
          <w:rFonts w:hint="eastAsia" w:ascii="仿宋" w:hAnsi="仿宋" w:eastAsia="仿宋" w:cstheme="minorBidi"/>
          <w:kern w:val="2"/>
          <w:sz w:val="30"/>
          <w:szCs w:val="30"/>
        </w:rPr>
      </w:pPr>
      <w:r>
        <w:rPr>
          <w:rFonts w:hint="eastAsia" w:ascii="仿宋" w:hAnsi="仿宋" w:eastAsia="仿宋" w:cstheme="minorBidi"/>
          <w:kern w:val="2"/>
          <w:sz w:val="30"/>
          <w:szCs w:val="30"/>
        </w:rPr>
        <w:t>（一）绩效自评目的</w:t>
      </w:r>
    </w:p>
    <w:p>
      <w:pPr>
        <w:pStyle w:val="3"/>
        <w:shd w:val="clear" w:color="auto" w:fill="FFFFFF"/>
        <w:spacing w:before="0" w:beforeAutospacing="0" w:after="0" w:afterAutospacing="0" w:line="444" w:lineRule="atLeast"/>
        <w:ind w:firstLine="516"/>
        <w:jc w:val="both"/>
        <w:rPr>
          <w:rFonts w:hint="eastAsia" w:ascii="仿宋" w:hAnsi="仿宋" w:eastAsia="仿宋" w:cstheme="minorBidi"/>
          <w:kern w:val="2"/>
          <w:sz w:val="30"/>
          <w:szCs w:val="30"/>
        </w:rPr>
      </w:pPr>
      <w:r>
        <w:rPr>
          <w:rFonts w:hint="eastAsia" w:ascii="仿宋" w:hAnsi="仿宋" w:eastAsia="仿宋" w:cstheme="minorBidi"/>
          <w:kern w:val="2"/>
          <w:sz w:val="30"/>
          <w:szCs w:val="30"/>
        </w:rPr>
        <w:t>通过对各项支出立项情况、资金使用情况、项目实施管理情况、项目绩效表现情况进行自我评价，了解资金使用是否达到了预期目标，检验资金支出效率和效果。分析资金使用过程中存在的问题及其原因，及时总结经验，改进管理措施，有效提高财政资金管理水平和使用效益。</w:t>
      </w:r>
    </w:p>
    <w:p>
      <w:pPr>
        <w:pStyle w:val="3"/>
        <w:shd w:val="clear" w:color="auto" w:fill="FFFFFF"/>
        <w:spacing w:before="0" w:beforeAutospacing="0" w:after="0" w:afterAutospacing="0" w:line="444" w:lineRule="atLeast"/>
        <w:ind w:firstLine="516"/>
        <w:jc w:val="both"/>
        <w:rPr>
          <w:rFonts w:hint="eastAsia" w:ascii="仿宋" w:hAnsi="仿宋" w:eastAsia="仿宋" w:cstheme="minorBidi"/>
          <w:kern w:val="2"/>
          <w:sz w:val="30"/>
          <w:szCs w:val="30"/>
        </w:rPr>
      </w:pPr>
      <w:r>
        <w:rPr>
          <w:rFonts w:hint="eastAsia" w:ascii="仿宋" w:hAnsi="仿宋" w:eastAsia="仿宋" w:cstheme="minorBidi"/>
          <w:kern w:val="2"/>
          <w:sz w:val="30"/>
          <w:szCs w:val="30"/>
        </w:rPr>
        <w:t>（二）自评指标体系</w:t>
      </w:r>
    </w:p>
    <w:p>
      <w:pPr>
        <w:pStyle w:val="3"/>
        <w:shd w:val="clear" w:color="auto" w:fill="FFFFFF"/>
        <w:spacing w:before="0" w:beforeAutospacing="0" w:after="0" w:afterAutospacing="0" w:line="444" w:lineRule="atLeast"/>
        <w:ind w:firstLine="516"/>
        <w:jc w:val="both"/>
        <w:rPr>
          <w:rFonts w:hint="eastAsia" w:ascii="仿宋" w:hAnsi="仿宋" w:eastAsia="仿宋" w:cstheme="minorBidi"/>
          <w:kern w:val="2"/>
          <w:sz w:val="30"/>
          <w:szCs w:val="30"/>
        </w:rPr>
      </w:pPr>
      <w:r>
        <w:rPr>
          <w:rFonts w:hint="eastAsia" w:ascii="仿宋" w:hAnsi="仿宋" w:eastAsia="仿宋" w:cstheme="minorBidi"/>
          <w:kern w:val="2"/>
          <w:sz w:val="30"/>
          <w:szCs w:val="30"/>
        </w:rPr>
        <w:t>2021年度部门预算项目支出绩效自评指标体系包含部门整体支出绩效自评指标体系和项目绩效自评指标体系。</w:t>
      </w:r>
    </w:p>
    <w:p>
      <w:pPr>
        <w:pStyle w:val="3"/>
        <w:shd w:val="clear" w:color="auto" w:fill="FFFFFF"/>
        <w:spacing w:before="0" w:beforeAutospacing="0" w:after="0" w:afterAutospacing="0" w:line="444" w:lineRule="atLeast"/>
        <w:ind w:firstLine="516"/>
        <w:jc w:val="both"/>
        <w:rPr>
          <w:rFonts w:hint="eastAsia" w:ascii="仿宋" w:hAnsi="仿宋" w:eastAsia="仿宋" w:cstheme="minorBidi"/>
          <w:kern w:val="2"/>
          <w:sz w:val="30"/>
          <w:szCs w:val="30"/>
        </w:rPr>
      </w:pPr>
      <w:r>
        <w:rPr>
          <w:rFonts w:ascii="仿宋" w:hAnsi="仿宋" w:eastAsia="仿宋" w:cstheme="minorBidi"/>
          <w:kern w:val="2"/>
          <w:sz w:val="30"/>
          <w:szCs w:val="30"/>
        </w:rPr>
        <w:t>1．部门整体支出绩效自评体系包含以下四个方面：</w:t>
      </w:r>
    </w:p>
    <w:p>
      <w:pPr>
        <w:pStyle w:val="3"/>
        <w:shd w:val="clear" w:color="auto" w:fill="FFFFFF"/>
        <w:spacing w:before="0" w:beforeAutospacing="0" w:after="0" w:afterAutospacing="0" w:line="444" w:lineRule="atLeast"/>
        <w:ind w:firstLine="336"/>
        <w:jc w:val="both"/>
        <w:rPr>
          <w:rFonts w:hint="eastAsia" w:ascii="仿宋" w:hAnsi="仿宋" w:eastAsia="仿宋" w:cstheme="minorBidi"/>
          <w:kern w:val="2"/>
          <w:sz w:val="30"/>
          <w:szCs w:val="30"/>
        </w:rPr>
      </w:pPr>
      <w:r>
        <w:rPr>
          <w:rFonts w:hint="eastAsia" w:ascii="仿宋" w:hAnsi="仿宋" w:eastAsia="仿宋" w:cstheme="minorBidi"/>
          <w:kern w:val="2"/>
          <w:sz w:val="30"/>
          <w:szCs w:val="30"/>
        </w:rPr>
        <w:t>（1）投入部分：分为目标设定和预算配置。其中目标设定指标包含目标依据充分性、绩效目标合理性、绩效指标明确性三项内容。预算配置指标包含分配依据、分配结果、重点支出保障率等三项内容。</w:t>
      </w:r>
    </w:p>
    <w:p>
      <w:pPr>
        <w:pStyle w:val="3"/>
        <w:shd w:val="clear" w:color="auto" w:fill="FFFFFF"/>
        <w:spacing w:before="0" w:beforeAutospacing="0" w:after="0" w:afterAutospacing="0" w:line="444" w:lineRule="atLeast"/>
        <w:ind w:firstLine="336"/>
        <w:jc w:val="both"/>
        <w:rPr>
          <w:rFonts w:hint="eastAsia" w:ascii="仿宋" w:hAnsi="仿宋" w:eastAsia="仿宋" w:cstheme="minorBidi"/>
          <w:kern w:val="2"/>
          <w:sz w:val="30"/>
          <w:szCs w:val="30"/>
        </w:rPr>
      </w:pPr>
      <w:r>
        <w:rPr>
          <w:rFonts w:hint="eastAsia" w:ascii="仿宋" w:hAnsi="仿宋" w:eastAsia="仿宋" w:cstheme="minorBidi"/>
          <w:kern w:val="2"/>
          <w:sz w:val="30"/>
          <w:szCs w:val="30"/>
        </w:rPr>
        <w:t>（2）过程部分：分为预算执行、预算管理和资产管理三部分。其中预算执行指标包含预算完成率、预算调整率、支出进度率等三项内容。预算管理指标包含“三公经费”控制率、预决算信息公开情况、资金使用合规性等三项内容。资产管理指标包含资产管理规范性和固定资产利用率两项内容。</w:t>
      </w:r>
    </w:p>
    <w:p>
      <w:pPr>
        <w:pStyle w:val="3"/>
        <w:shd w:val="clear" w:color="auto" w:fill="FFFFFF"/>
        <w:spacing w:before="0" w:beforeAutospacing="0" w:after="0" w:afterAutospacing="0" w:line="444" w:lineRule="atLeast"/>
        <w:ind w:firstLine="336"/>
        <w:jc w:val="both"/>
        <w:rPr>
          <w:rFonts w:hint="eastAsia" w:ascii="仿宋" w:hAnsi="仿宋" w:eastAsia="仿宋" w:cstheme="minorBidi"/>
          <w:kern w:val="2"/>
          <w:sz w:val="30"/>
          <w:szCs w:val="30"/>
        </w:rPr>
      </w:pPr>
      <w:r>
        <w:rPr>
          <w:rFonts w:hint="eastAsia" w:ascii="仿宋" w:hAnsi="仿宋" w:eastAsia="仿宋" w:cstheme="minorBidi"/>
          <w:kern w:val="2"/>
          <w:sz w:val="30"/>
          <w:szCs w:val="30"/>
        </w:rPr>
        <w:t>（3）产出部分：主要为职责履行情况，包含产出数量、产出质量和产出进度三项内容。</w:t>
      </w:r>
    </w:p>
    <w:p>
      <w:pPr>
        <w:pStyle w:val="3"/>
        <w:shd w:val="clear" w:color="auto" w:fill="FFFFFF"/>
        <w:spacing w:before="0" w:beforeAutospacing="0" w:after="0" w:afterAutospacing="0" w:line="444" w:lineRule="atLeast"/>
        <w:ind w:firstLine="336"/>
        <w:jc w:val="both"/>
        <w:rPr>
          <w:rFonts w:hint="eastAsia" w:ascii="仿宋" w:hAnsi="仿宋" w:eastAsia="仿宋" w:cstheme="minorBidi"/>
          <w:kern w:val="2"/>
          <w:sz w:val="30"/>
          <w:szCs w:val="30"/>
        </w:rPr>
      </w:pPr>
      <w:r>
        <w:rPr>
          <w:rFonts w:hint="eastAsia" w:ascii="仿宋" w:hAnsi="仿宋" w:eastAsia="仿宋" w:cstheme="minorBidi"/>
          <w:kern w:val="2"/>
          <w:sz w:val="30"/>
          <w:szCs w:val="30"/>
        </w:rPr>
        <w:t>（4）效果部分：主要为履职效益情况，包含经济效益、社会效益和可持续影响三项内容。</w:t>
      </w:r>
    </w:p>
    <w:p>
      <w:pPr>
        <w:pStyle w:val="3"/>
        <w:shd w:val="clear" w:color="auto" w:fill="FFFFFF"/>
        <w:spacing w:before="0" w:beforeAutospacing="0" w:after="0" w:afterAutospacing="0" w:line="444" w:lineRule="atLeast"/>
        <w:ind w:firstLine="336"/>
        <w:jc w:val="both"/>
        <w:rPr>
          <w:rFonts w:hint="eastAsia" w:ascii="仿宋" w:hAnsi="仿宋" w:eastAsia="仿宋" w:cstheme="minorBidi"/>
          <w:kern w:val="2"/>
          <w:sz w:val="30"/>
          <w:szCs w:val="30"/>
        </w:rPr>
      </w:pPr>
      <w:r>
        <w:rPr>
          <w:rFonts w:hint="eastAsia" w:ascii="仿宋" w:hAnsi="仿宋" w:eastAsia="仿宋" w:cstheme="minorBidi"/>
          <w:kern w:val="2"/>
          <w:sz w:val="30"/>
          <w:szCs w:val="30"/>
        </w:rPr>
        <w:t>2．项目绩效自评体系</w:t>
      </w:r>
    </w:p>
    <w:p>
      <w:pPr>
        <w:pStyle w:val="3"/>
        <w:shd w:val="clear" w:color="auto" w:fill="FFFFFF"/>
        <w:spacing w:before="0" w:beforeAutospacing="0" w:after="0" w:afterAutospacing="0" w:line="444" w:lineRule="atLeast"/>
        <w:ind w:firstLine="336"/>
        <w:jc w:val="both"/>
        <w:rPr>
          <w:rFonts w:hint="eastAsia" w:ascii="仿宋" w:hAnsi="仿宋" w:eastAsia="仿宋" w:cstheme="minorBidi"/>
          <w:kern w:val="2"/>
          <w:sz w:val="30"/>
          <w:szCs w:val="30"/>
        </w:rPr>
      </w:pPr>
      <w:r>
        <w:rPr>
          <w:rFonts w:hint="eastAsia" w:ascii="仿宋" w:hAnsi="仿宋" w:eastAsia="仿宋" w:cstheme="minorBidi"/>
          <w:kern w:val="2"/>
          <w:sz w:val="30"/>
          <w:szCs w:val="30"/>
        </w:rPr>
        <w:t>2021年度一共开展5个项目，项目绩效自评指标体系主要包括：产出指标、效益指标和满意度指标。其中产出指标包含数量指标、质量指标、时效指标和成本指标；效益指标包含经济效益指标、社会效益指标、可持续影响指标；满意度指标主要为服务对象满意度指标。因每个项目具体内容不同，具体详见项目绩效自评表。</w:t>
      </w:r>
    </w:p>
    <w:p>
      <w:pPr>
        <w:pStyle w:val="3"/>
        <w:shd w:val="clear" w:color="auto" w:fill="FFFFFF"/>
        <w:spacing w:before="0" w:beforeAutospacing="0" w:after="0" w:afterAutospacing="0" w:line="444" w:lineRule="atLeast"/>
        <w:ind w:firstLine="516"/>
        <w:jc w:val="both"/>
        <w:rPr>
          <w:rFonts w:hint="eastAsia" w:ascii="仿宋" w:hAnsi="仿宋" w:eastAsia="仿宋" w:cstheme="minorBidi"/>
          <w:kern w:val="2"/>
          <w:sz w:val="30"/>
          <w:szCs w:val="30"/>
        </w:rPr>
      </w:pPr>
      <w:r>
        <w:rPr>
          <w:rFonts w:hint="eastAsia" w:ascii="仿宋" w:hAnsi="仿宋" w:eastAsia="仿宋" w:cstheme="minorBidi"/>
          <w:kern w:val="2"/>
          <w:sz w:val="30"/>
          <w:szCs w:val="30"/>
        </w:rPr>
        <w:t>（三）自评组织过程 </w:t>
      </w:r>
    </w:p>
    <w:p>
      <w:pPr>
        <w:pStyle w:val="3"/>
        <w:shd w:val="clear" w:color="auto" w:fill="FFFFFF"/>
        <w:spacing w:before="0" w:beforeAutospacing="0" w:after="0" w:afterAutospacing="0" w:line="444" w:lineRule="atLeast"/>
        <w:ind w:firstLine="516"/>
        <w:jc w:val="both"/>
        <w:rPr>
          <w:rFonts w:hint="eastAsia" w:ascii="仿宋" w:hAnsi="仿宋" w:eastAsia="仿宋" w:cstheme="minorBidi"/>
          <w:kern w:val="2"/>
          <w:sz w:val="30"/>
          <w:szCs w:val="30"/>
        </w:rPr>
      </w:pPr>
      <w:r>
        <w:rPr>
          <w:rFonts w:hint="eastAsia" w:ascii="仿宋" w:hAnsi="仿宋" w:eastAsia="仿宋" w:cstheme="minorBidi"/>
          <w:kern w:val="2"/>
          <w:sz w:val="30"/>
          <w:szCs w:val="30"/>
        </w:rPr>
        <w:t>1.前期准备根据龙南市财政局《关于开展2021年度本市级预算项目和部门整体支出绩效评价工作的通知》要求，准确把握2021年部门整体支出绩效自评工作自评标准和要求，对列入自评的项目进行梳理。</w:t>
      </w:r>
    </w:p>
    <w:p>
      <w:pPr>
        <w:pStyle w:val="3"/>
        <w:shd w:val="clear" w:color="auto" w:fill="FFFFFF"/>
        <w:spacing w:before="0" w:beforeAutospacing="0" w:after="0" w:afterAutospacing="0" w:line="444" w:lineRule="atLeast"/>
        <w:ind w:firstLine="516"/>
        <w:jc w:val="both"/>
        <w:rPr>
          <w:rFonts w:hint="eastAsia" w:ascii="仿宋" w:hAnsi="仿宋" w:eastAsia="仿宋" w:cstheme="minorBidi"/>
          <w:kern w:val="2"/>
          <w:sz w:val="30"/>
          <w:szCs w:val="30"/>
        </w:rPr>
      </w:pPr>
      <w:r>
        <w:rPr>
          <w:rFonts w:hint="eastAsia" w:ascii="仿宋" w:hAnsi="仿宋" w:eastAsia="仿宋" w:cstheme="minorBidi"/>
          <w:kern w:val="2"/>
          <w:sz w:val="30"/>
          <w:szCs w:val="30"/>
        </w:rPr>
        <w:t>2.组织实施。明确任务分工，压实工作责任，加强督促指导，确保项目绩效自评严格按照工作方案有序进行。认真准备相关资料，深入客观进行分析评价，在各项目分工自评的基础上统一分类汇总，高质量地完成项目绩效自评工作。</w:t>
      </w:r>
    </w:p>
    <w:p>
      <w:pPr>
        <w:pStyle w:val="3"/>
        <w:shd w:val="clear" w:color="auto" w:fill="FFFFFF"/>
        <w:spacing w:before="0" w:beforeAutospacing="0" w:after="0" w:afterAutospacing="0" w:line="444" w:lineRule="atLeast"/>
        <w:ind w:firstLine="516"/>
        <w:jc w:val="both"/>
        <w:rPr>
          <w:rFonts w:hint="eastAsia" w:ascii="仿宋" w:hAnsi="仿宋" w:eastAsia="仿宋" w:cstheme="minorBidi"/>
          <w:kern w:val="2"/>
          <w:sz w:val="30"/>
          <w:szCs w:val="30"/>
        </w:rPr>
      </w:pPr>
      <w:r>
        <w:rPr>
          <w:rFonts w:hint="eastAsia" w:ascii="仿宋" w:hAnsi="仿宋" w:eastAsia="仿宋" w:cstheme="minorBidi"/>
          <w:kern w:val="2"/>
          <w:sz w:val="30"/>
          <w:szCs w:val="30"/>
        </w:rPr>
        <w:t>三、评价情况分析及综合评价结论</w:t>
      </w:r>
    </w:p>
    <w:p>
      <w:pPr>
        <w:pStyle w:val="3"/>
        <w:shd w:val="clear" w:color="auto" w:fill="FFFFFF"/>
        <w:spacing w:before="0" w:beforeAutospacing="0" w:after="0" w:afterAutospacing="0" w:line="444" w:lineRule="atLeast"/>
        <w:ind w:firstLine="516"/>
        <w:jc w:val="both"/>
        <w:rPr>
          <w:rFonts w:hint="eastAsia" w:ascii="仿宋" w:hAnsi="仿宋" w:eastAsia="仿宋" w:cstheme="minorBidi"/>
          <w:kern w:val="2"/>
          <w:sz w:val="30"/>
          <w:szCs w:val="30"/>
        </w:rPr>
      </w:pPr>
      <w:r>
        <w:rPr>
          <w:rFonts w:hint="eastAsia" w:ascii="仿宋" w:hAnsi="仿宋" w:eastAsia="仿宋" w:cstheme="minorBidi"/>
          <w:kern w:val="2"/>
          <w:sz w:val="30"/>
          <w:szCs w:val="30"/>
        </w:rPr>
        <w:t>综合评价得分为96分，档次为优秀。</w:t>
      </w:r>
    </w:p>
    <w:p>
      <w:pPr>
        <w:pStyle w:val="3"/>
        <w:shd w:val="clear" w:color="auto" w:fill="FFFFFF"/>
        <w:spacing w:before="0" w:beforeAutospacing="0" w:after="0" w:afterAutospacing="0" w:line="444" w:lineRule="atLeast"/>
        <w:ind w:firstLine="516"/>
        <w:jc w:val="both"/>
        <w:rPr>
          <w:rFonts w:hint="eastAsia" w:ascii="仿宋" w:hAnsi="仿宋" w:eastAsia="仿宋" w:cstheme="minorBidi"/>
          <w:kern w:val="2"/>
          <w:sz w:val="30"/>
          <w:szCs w:val="30"/>
        </w:rPr>
      </w:pPr>
      <w:r>
        <w:rPr>
          <w:rFonts w:hint="eastAsia" w:ascii="仿宋" w:hAnsi="仿宋" w:eastAsia="仿宋" w:cstheme="minorBidi"/>
          <w:kern w:val="2"/>
          <w:sz w:val="30"/>
          <w:szCs w:val="30"/>
        </w:rPr>
        <w:t>四、存在的问题和整改情况</w:t>
      </w:r>
    </w:p>
    <w:p>
      <w:pPr>
        <w:pStyle w:val="3"/>
        <w:shd w:val="clear" w:color="auto" w:fill="FFFFFF"/>
        <w:spacing w:before="0" w:beforeAutospacing="0" w:after="0" w:afterAutospacing="0" w:line="444" w:lineRule="atLeast"/>
        <w:ind w:firstLine="516"/>
        <w:jc w:val="both"/>
        <w:rPr>
          <w:rFonts w:hint="eastAsia" w:ascii="仿宋" w:hAnsi="仿宋" w:eastAsia="仿宋" w:cstheme="minorBidi"/>
          <w:kern w:val="2"/>
          <w:sz w:val="30"/>
          <w:szCs w:val="30"/>
        </w:rPr>
      </w:pPr>
      <w:r>
        <w:rPr>
          <w:rFonts w:hint="eastAsia" w:ascii="仿宋" w:hAnsi="仿宋" w:eastAsia="仿宋" w:cstheme="minorBidi"/>
          <w:kern w:val="2"/>
          <w:sz w:val="30"/>
          <w:szCs w:val="30"/>
        </w:rPr>
        <w:t>项目绩效目标存在细化不够、指标不清晰、可衡量性差的问题，针对存在问题，在今后的预算绩效申报时，需进一步将全年工作任务细化分解为具体的工作目标，并尽量采取定量的方式制定清晰、可衡量的绩效指标。</w:t>
      </w:r>
    </w:p>
    <w:p>
      <w:pPr>
        <w:pStyle w:val="3"/>
        <w:shd w:val="clear" w:color="auto" w:fill="FFFFFF"/>
        <w:spacing w:before="0" w:beforeAutospacing="0" w:after="0" w:afterAutospacing="0" w:line="444" w:lineRule="atLeast"/>
        <w:ind w:firstLine="600" w:firstLineChars="200"/>
        <w:jc w:val="both"/>
        <w:rPr>
          <w:rFonts w:hint="eastAsia" w:ascii="仿宋" w:hAnsi="仿宋" w:eastAsia="仿宋" w:cstheme="minorBidi"/>
          <w:kern w:val="2"/>
          <w:sz w:val="30"/>
          <w:szCs w:val="30"/>
        </w:rPr>
      </w:pPr>
      <w:r>
        <w:rPr>
          <w:rFonts w:hint="eastAsia" w:ascii="仿宋" w:hAnsi="仿宋" w:eastAsia="仿宋" w:cstheme="minorBidi"/>
          <w:kern w:val="2"/>
          <w:sz w:val="30"/>
          <w:szCs w:val="30"/>
        </w:rPr>
        <w:t>五、绩效自评结果应用</w:t>
      </w:r>
    </w:p>
    <w:p>
      <w:pPr>
        <w:pStyle w:val="3"/>
        <w:shd w:val="clear" w:color="auto" w:fill="FFFFFF"/>
        <w:spacing w:before="0" w:beforeAutospacing="0" w:after="0" w:afterAutospacing="0" w:line="444" w:lineRule="atLeast"/>
        <w:ind w:firstLine="336"/>
        <w:jc w:val="both"/>
        <w:rPr>
          <w:rFonts w:hint="eastAsia" w:ascii="仿宋" w:hAnsi="仿宋" w:eastAsia="仿宋" w:cstheme="minorBidi"/>
          <w:kern w:val="2"/>
          <w:sz w:val="30"/>
          <w:szCs w:val="30"/>
        </w:rPr>
      </w:pPr>
      <w:r>
        <w:rPr>
          <w:rFonts w:hint="eastAsia" w:ascii="仿宋" w:hAnsi="仿宋" w:eastAsia="仿宋" w:cstheme="minorBidi"/>
          <w:kern w:val="2"/>
          <w:sz w:val="30"/>
          <w:szCs w:val="30"/>
        </w:rPr>
        <w:t> 1.针对本部门绩效自评中存在的问题，及时调整和优化本部门后续项目和以后年度预算支出的方向和结构，合理配置资源，加强财务管理。</w:t>
      </w:r>
    </w:p>
    <w:p>
      <w:pPr>
        <w:pStyle w:val="3"/>
        <w:shd w:val="clear" w:color="auto" w:fill="FFFFFF"/>
        <w:spacing w:before="0" w:beforeAutospacing="0" w:after="0" w:afterAutospacing="0" w:line="444" w:lineRule="atLeast"/>
        <w:ind w:firstLine="600" w:firstLineChars="200"/>
        <w:jc w:val="both"/>
        <w:rPr>
          <w:rFonts w:hint="eastAsia" w:ascii="仿宋" w:hAnsi="仿宋" w:eastAsia="仿宋" w:cstheme="minorBidi"/>
          <w:kern w:val="2"/>
          <w:sz w:val="30"/>
          <w:szCs w:val="30"/>
        </w:rPr>
      </w:pPr>
      <w:r>
        <w:rPr>
          <w:rFonts w:hint="eastAsia" w:ascii="仿宋" w:hAnsi="仿宋" w:eastAsia="仿宋" w:cstheme="minorBidi"/>
          <w:kern w:val="2"/>
          <w:sz w:val="30"/>
          <w:szCs w:val="30"/>
        </w:rPr>
        <w:t>2.建立激励与约束机制，强化评价结果在项目申报和预算编制中的有效应用。</w:t>
      </w:r>
    </w:p>
    <w:p>
      <w:pPr>
        <w:pStyle w:val="3"/>
        <w:shd w:val="clear" w:color="auto" w:fill="FFFFFF"/>
        <w:spacing w:before="0" w:beforeAutospacing="0" w:after="0" w:afterAutospacing="0" w:line="444" w:lineRule="atLeast"/>
        <w:ind w:firstLine="516"/>
        <w:jc w:val="both"/>
        <w:rPr>
          <w:rFonts w:hint="eastAsia" w:ascii="仿宋" w:hAnsi="仿宋" w:eastAsia="仿宋" w:cstheme="minorBidi"/>
          <w:kern w:val="2"/>
          <w:sz w:val="30"/>
          <w:szCs w:val="30"/>
        </w:rPr>
      </w:pPr>
      <w:r>
        <w:rPr>
          <w:rFonts w:hint="eastAsia" w:ascii="仿宋" w:hAnsi="仿宋" w:eastAsia="仿宋" w:cstheme="minorBidi"/>
          <w:kern w:val="2"/>
          <w:sz w:val="30"/>
          <w:szCs w:val="30"/>
        </w:rPr>
        <w:t>六、主要经验及做法</w:t>
      </w:r>
    </w:p>
    <w:p>
      <w:pPr>
        <w:pStyle w:val="3"/>
        <w:shd w:val="clear" w:color="auto" w:fill="FFFFFF"/>
        <w:spacing w:before="0" w:beforeAutospacing="0" w:after="0" w:afterAutospacing="0" w:line="444" w:lineRule="atLeast"/>
        <w:ind w:firstLine="516"/>
        <w:jc w:val="both"/>
        <w:rPr>
          <w:rFonts w:hint="eastAsia" w:ascii="仿宋" w:hAnsi="仿宋" w:eastAsia="仿宋" w:cstheme="minorBidi"/>
          <w:kern w:val="2"/>
          <w:sz w:val="30"/>
          <w:szCs w:val="30"/>
        </w:rPr>
      </w:pPr>
      <w:r>
        <w:rPr>
          <w:rFonts w:hint="eastAsia" w:ascii="仿宋" w:hAnsi="仿宋" w:eastAsia="仿宋" w:cstheme="minorBidi"/>
          <w:kern w:val="2"/>
          <w:sz w:val="30"/>
          <w:szCs w:val="30"/>
        </w:rPr>
        <w:t>本次部门整体支出绩效自评主要是根据国家和省级相关法律法规和部门规章的相关规定进行，下一步将继续针对本单位部门整体支出的特点，强化预算绩效申报工作，强化项目方案预报和实施。</w:t>
      </w:r>
    </w:p>
    <w:p>
      <w:pPr>
        <w:pStyle w:val="3"/>
        <w:shd w:val="clear" w:color="auto" w:fill="FFFFFF"/>
        <w:spacing w:before="0" w:beforeAutospacing="0" w:after="0" w:afterAutospacing="0" w:line="444" w:lineRule="atLeast"/>
        <w:ind w:firstLine="516"/>
        <w:jc w:val="both"/>
        <w:rPr>
          <w:rFonts w:hint="eastAsia" w:ascii="仿宋" w:hAnsi="仿宋" w:eastAsia="仿宋" w:cstheme="minorBidi"/>
          <w:kern w:val="2"/>
          <w:sz w:val="30"/>
          <w:szCs w:val="30"/>
        </w:rPr>
      </w:pPr>
      <w:r>
        <w:rPr>
          <w:rFonts w:hint="eastAsia" w:ascii="仿宋" w:hAnsi="仿宋" w:eastAsia="仿宋" w:cstheme="minorBidi"/>
          <w:kern w:val="2"/>
          <w:sz w:val="30"/>
          <w:szCs w:val="30"/>
        </w:rPr>
        <w:t>七、其他需说明的情况</w:t>
      </w:r>
    </w:p>
    <w:p>
      <w:pPr>
        <w:pStyle w:val="3"/>
        <w:shd w:val="clear" w:color="auto" w:fill="FFFFFF"/>
        <w:spacing w:before="0" w:beforeAutospacing="0" w:after="0" w:afterAutospacing="0" w:line="444" w:lineRule="atLeast"/>
        <w:ind w:firstLine="516"/>
        <w:jc w:val="both"/>
        <w:rPr>
          <w:rFonts w:hint="eastAsia" w:ascii="仿宋" w:hAnsi="仿宋" w:eastAsia="仿宋" w:cstheme="minorBidi"/>
          <w:kern w:val="2"/>
          <w:sz w:val="30"/>
          <w:szCs w:val="30"/>
        </w:rPr>
      </w:pPr>
      <w:r>
        <w:rPr>
          <w:rFonts w:hint="eastAsia" w:ascii="仿宋" w:hAnsi="仿宋" w:eastAsia="仿宋" w:cstheme="minorBidi"/>
          <w:kern w:val="2"/>
          <w:sz w:val="30"/>
          <w:szCs w:val="30"/>
        </w:rPr>
        <w:t>无。</w:t>
      </w:r>
    </w:p>
    <w:p>
      <w:pPr>
        <w:pStyle w:val="3"/>
        <w:shd w:val="clear" w:color="auto" w:fill="FFFFFF"/>
        <w:spacing w:before="0" w:beforeAutospacing="0" w:after="0" w:afterAutospacing="0" w:line="444" w:lineRule="atLeast"/>
        <w:ind w:firstLine="516"/>
        <w:jc w:val="right"/>
        <w:rPr>
          <w:rFonts w:hint="eastAsia" w:ascii="仿宋" w:hAnsi="仿宋" w:eastAsia="仿宋" w:cstheme="minorBidi"/>
          <w:kern w:val="2"/>
          <w:sz w:val="30"/>
          <w:szCs w:val="30"/>
          <w:lang w:eastAsia="zh-CN"/>
        </w:rPr>
      </w:pPr>
      <w:r>
        <w:rPr>
          <w:rFonts w:hint="eastAsia" w:ascii="仿宋" w:hAnsi="仿宋" w:eastAsia="仿宋" w:cstheme="minorBidi"/>
          <w:kern w:val="2"/>
          <w:sz w:val="30"/>
          <w:szCs w:val="30"/>
          <w:lang w:eastAsia="zh-CN"/>
        </w:rPr>
        <w:t>龙南市城市社区管理委员会</w:t>
      </w:r>
    </w:p>
    <w:p>
      <w:pPr>
        <w:pStyle w:val="3"/>
        <w:shd w:val="clear" w:color="auto" w:fill="FFFFFF"/>
        <w:wordWrap w:val="0"/>
        <w:spacing w:before="0" w:beforeAutospacing="0" w:after="0" w:afterAutospacing="0" w:line="444" w:lineRule="atLeast"/>
        <w:ind w:firstLine="516"/>
        <w:jc w:val="right"/>
        <w:rPr>
          <w:rFonts w:hint="default" w:ascii="仿宋" w:hAnsi="仿宋" w:eastAsia="仿宋" w:cstheme="minorBidi"/>
          <w:kern w:val="2"/>
          <w:sz w:val="30"/>
          <w:szCs w:val="30"/>
          <w:lang w:val="en-US" w:eastAsia="zh-CN"/>
        </w:rPr>
      </w:pPr>
      <w:r>
        <w:rPr>
          <w:rFonts w:hint="eastAsia" w:ascii="仿宋" w:hAnsi="仿宋" w:eastAsia="仿宋" w:cstheme="minorBidi"/>
          <w:kern w:val="2"/>
          <w:sz w:val="30"/>
          <w:szCs w:val="30"/>
          <w:lang w:val="en-US" w:eastAsia="zh-CN"/>
        </w:rPr>
        <w:t xml:space="preserve">2022年3月18日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E74423"/>
    <w:multiLevelType w:val="multilevel"/>
    <w:tmpl w:val="4AE74423"/>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UwNDc4ZjFjNDA2NmM2NjFlZTBhZjVhMWI1ZTYyMTcifQ=="/>
  </w:docVars>
  <w:rsids>
    <w:rsidRoot w:val="006E7441"/>
    <w:rsid w:val="000365F6"/>
    <w:rsid w:val="00212B51"/>
    <w:rsid w:val="006E7441"/>
    <w:rsid w:val="007055FB"/>
    <w:rsid w:val="0088140B"/>
    <w:rsid w:val="00A46CBD"/>
    <w:rsid w:val="00B233FA"/>
    <w:rsid w:val="577545F0"/>
    <w:rsid w:val="5C2D7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标题 1 Char"/>
    <w:basedOn w:val="5"/>
    <w:link w:val="2"/>
    <w:uiPriority w:val="9"/>
    <w:rPr>
      <w:rFonts w:ascii="宋体" w:hAnsi="宋体" w:eastAsia="宋体" w:cs="宋体"/>
      <w:b/>
      <w:bCs/>
      <w:kern w:val="36"/>
      <w:sz w:val="48"/>
      <w:szCs w:val="4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6</Pages>
  <Words>2625</Words>
  <Characters>2734</Characters>
  <Lines>19</Lines>
  <Paragraphs>5</Paragraphs>
  <TotalTime>0</TotalTime>
  <ScaleCrop>false</ScaleCrop>
  <LinksUpToDate>false</LinksUpToDate>
  <CharactersWithSpaces>2746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2022-03-18T01:50:00Z</dcterms:created>
  <dc:creator>dreamsummit</dc:creator>
  <cp:lastModifiedBy>鸢尾。</cp:lastModifiedBy>
  <dcterms:modified xsi:type="dcterms:W3CDTF">2023-05-16T08:45:04Z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21A7A69A760D4242BBE936AE79A4F6EE</vt:lpwstr>
  </property>
</Properties>
</file>