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</w:rPr>
        <w:t>残疾孤儿（残疾事实无人抚养儿童）照料护理补贴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25"/>
        <w:keepNext/>
        <w:keepLines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为加快完善孤儿（事实无人抚养儿童）福利保障体系，根据《中共江西省委办公厅 江西省人民政府办公厅 印发〈关于改革完善社会救助制度的实施意见＞的通知》（赣办发〔</w:t>
      </w:r>
      <w:r>
        <w:rPr>
          <w:rFonts w:hint="eastAsia" w:ascii="宋体" w:hAnsi="宋体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34</w:t>
      </w:r>
      <w:r>
        <w:rPr>
          <w:rFonts w:hint="eastAsia" w:ascii="仿宋_GB2312" w:eastAsia="仿宋_GB2312"/>
          <w:sz w:val="32"/>
          <w:szCs w:val="32"/>
        </w:rPr>
        <w:t>号）、《江西省民政厅 江西省财政厅&lt;关于建立残疾孤儿（残疾事实无人抚养儿童）照料护理补贴制度&gt;的通知》（赣民字〔</w:t>
      </w:r>
      <w:r>
        <w:rPr>
          <w:rFonts w:hint="eastAsia" w:ascii="宋体" w:hAnsi="宋体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号）精神，各县（市、区）应迅速落实残疾孤儿（残疾事实无人抚养儿童）每人每月</w:t>
      </w:r>
      <w:r>
        <w:rPr>
          <w:rFonts w:hint="eastAsia" w:ascii="宋体" w:hAnsi="宋体"/>
          <w:sz w:val="32"/>
          <w:szCs w:val="32"/>
        </w:rPr>
        <w:t>1200</w:t>
      </w:r>
      <w:r>
        <w:rPr>
          <w:rFonts w:hint="eastAsia" w:ascii="仿宋_GB2312" w:eastAsia="仿宋_GB2312"/>
          <w:sz w:val="32"/>
          <w:szCs w:val="32"/>
        </w:rPr>
        <w:t>元的照料护理补贴，主要用于照料服务人为残疾孤儿（残疾事实无人抚养儿童）提供生活照料、送医就诊、生病看护、需求转介，协助做好康复训练、教育培训、居所安全隐患排查整改等开支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，龙南市民政局联合市财政局下发了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关于转发《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江西省民政厅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江西省财政厅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关于建立残疾孤儿（残疾事实无人抚养儿童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照料护理补贴制度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》的通知（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</w:rPr>
        <w:t>民字〔202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），政策从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2021年1月1日起执行。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96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1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</w:rPr>
        <w:t>申</w:t>
      </w: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eastAsia="zh-CN"/>
        </w:rPr>
        <w:t>请</w:t>
      </w: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</w:rPr>
        <w:t>条件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right="0" w:rightChars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1、本地户籍；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right="0" w:rightChars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2、持有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《中华人民共和国残疾人证》的残疾孤儿（残疾事实无人抚养儿童）或持有残疾评定指定医院、县及县以上具备医疗诊断资质的专业机构出具诊断证明的0-6岁（不满7周岁）残疾孤儿（残疾事实无人抚养儿童）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right="0" w:rightChars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年满18周岁后仍在接受义务教育或者在普通高中、中等职业学校、高等职业学校、普通全日制专科学校、普通全日制本科学校等就读高中、中专、大专、本科学生和硕士研究生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残疾孤儿（残疾事实无人抚养儿童）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96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eastAsia="zh-CN"/>
        </w:rPr>
        <w:t>二、申办程序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书面申请→乡镇受理、初审→入户调查→市民政局审批→录入“全国儿童福利管理系统”审批→发放资金至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残疾孤儿（残疾事实无人抚养儿童）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社保卡账号。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本人、监护人申请有困难的，可以委托村（居）民委员会或者他人代为提出申请。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区域性儿童福利机构代养的残疾孤儿（残疾事实无人抚养儿童）由委托机构向主管民政部门申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96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eastAsia="zh-CN"/>
        </w:rPr>
        <w:t>三、补贴标准</w:t>
      </w: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val="en-US" w:eastAsia="zh-CN"/>
        </w:rPr>
        <w:t xml:space="preserve"> </w:t>
      </w:r>
    </w:p>
    <w:p>
      <w:pPr>
        <w:pStyle w:val="23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每人每月1200元。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96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1"/>
          <w:sz w:val="32"/>
          <w:szCs w:val="32"/>
          <w:lang w:eastAsia="zh-CN"/>
        </w:rPr>
        <w:t>四、申请所需材料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371"/>
        </w:tabs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leftChars="0" w:right="0" w:rightChars="0" w:firstLine="59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《江西省残疾孤儿（残疾事实无人抚养儿童）照料护理补贴申请表》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；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400" w:lineRule="exact"/>
        <w:ind w:left="0" w:leftChars="0" w:right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残疾孤儿（残疾事实无人抚养儿童）委托照料服务协议；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40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残疾孤儿（残疾事实无人抚养儿童）残疾证明材料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；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4、提供就读证明：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年满18周岁后仍在接受义务教育或者在普通高中、中等职业学校、高等职业学校、普通全日制专科学校、普通全日制本科学校等就读高中、中专、大专、本科学生和硕士研究生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残疾孤儿（残疾事实无人抚养儿童）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；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</w:rPr>
        <w:t>残疾孤儿（残疾事实无人抚养儿童）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身份证、户口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簿及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eastAsia="zh-CN"/>
        </w:rPr>
        <w:t>社保卡复印件；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6、委托照料服务人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身份证、户口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及与儿童关系证明材料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；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592" w:right="987" w:bottom="1584" w:left="1101" w:header="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position w:val="0"/>
          <w:sz w:val="32"/>
          <w:szCs w:val="32"/>
          <w:lang w:val="en-US" w:eastAsia="zh-CN"/>
        </w:rPr>
        <w:t>5、其他要求提交的材料。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高龄老人长寿补贴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5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申办条件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_GB2312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28"/>
        </w:rPr>
        <w:t>持有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sz w:val="32"/>
          <w:szCs w:val="28"/>
        </w:rPr>
        <w:t>地常住户口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.年满80周岁以上的高龄老人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 w:hanging="640" w:hanging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二、申办程序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Arial" w:hAnsi="Arial" w:eastAsia="仿宋_GB2312" w:cs="Arial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书面申请</w:t>
      </w:r>
      <w:r>
        <w:rPr>
          <w:rFonts w:hint="default" w:ascii="Arial" w:hAnsi="Arial" w:eastAsia="仿宋_GB2312" w:cs="Arial"/>
          <w:kern w:val="0"/>
          <w:sz w:val="32"/>
          <w:szCs w:val="32"/>
          <w:lang w:val="en-US" w:eastAsia="zh-CN" w:bidi="ar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村（居）委会受理、初审</w:t>
      </w:r>
      <w:r>
        <w:rPr>
          <w:rFonts w:hint="default" w:ascii="Arial" w:hAnsi="Arial" w:eastAsia="仿宋_GB2312" w:cs="Arial"/>
          <w:kern w:val="0"/>
          <w:sz w:val="32"/>
          <w:szCs w:val="32"/>
          <w:lang w:val="en-US" w:eastAsia="zh-CN" w:bidi="ar"/>
        </w:rPr>
        <w:t>→</w:t>
      </w:r>
      <w:r>
        <w:rPr>
          <w:rFonts w:hint="eastAsia" w:ascii="Arial" w:hAnsi="Arial" w:eastAsia="仿宋_GB2312" w:cs="Arial"/>
          <w:kern w:val="0"/>
          <w:sz w:val="32"/>
          <w:szCs w:val="32"/>
          <w:lang w:val="en-US" w:eastAsia="zh-CN" w:bidi="ar"/>
        </w:rPr>
        <w:t>户口所在地派出所确认</w:t>
      </w:r>
      <w:r>
        <w:rPr>
          <w:rFonts w:hint="default" w:ascii="Arial" w:hAnsi="Arial" w:eastAsia="仿宋_GB2312" w:cs="Arial"/>
          <w:kern w:val="0"/>
          <w:sz w:val="32"/>
          <w:szCs w:val="32"/>
          <w:lang w:val="en-US" w:eastAsia="zh-CN" w:bidi="ar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乡镇审批、公示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5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请所需材料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_GB2312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申报审批表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58" w:leftChars="304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身份证、户口本复印件（原件查验）、无身份证人员需到</w:t>
      </w:r>
      <w:r>
        <w:rPr>
          <w:rFonts w:hint="eastAsia" w:ascii="Arial" w:hAnsi="Arial" w:eastAsia="仿宋_GB2312" w:cs="Arial"/>
          <w:kern w:val="0"/>
          <w:sz w:val="32"/>
          <w:szCs w:val="32"/>
          <w:lang w:val="en-US" w:eastAsia="zh-CN" w:bidi="ar"/>
        </w:rPr>
        <w:t>户口所在地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派出所开具户籍证明；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.老人本人银行账号复印件；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.1寸（3张）近期免冠彩色照片及8寸（1张）手持近期杂志或挂历彩色照片。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老年人补贴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老年人补贴包括：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经济困难的高龄老年人养老服务补贴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经济困难的失能老年人护理补贴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申办条件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经济困难的高龄老年人养老服务补贴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1.</w:t>
      </w:r>
      <w:r>
        <w:rPr>
          <w:rFonts w:hint="eastAsia" w:ascii="仿宋_GB2312" w:hAnsi="仿宋_GB2312" w:eastAsia="仿宋_GB2312"/>
          <w:sz w:val="32"/>
          <w:szCs w:val="28"/>
        </w:rPr>
        <w:t>持有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sz w:val="32"/>
          <w:szCs w:val="28"/>
        </w:rPr>
        <w:t>地常住户口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低保对象、特困人员中年满80周岁的老年人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经济困难的失能老年人护理补贴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28"/>
          <w:highlight w:val="yellow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yellow"/>
          <w:lang w:val="en-US" w:eastAsia="zh-CN"/>
        </w:rPr>
        <w:t xml:space="preserve"> 1.</w:t>
      </w:r>
      <w:r>
        <w:rPr>
          <w:rFonts w:hint="eastAsia" w:ascii="仿宋_GB2312" w:hAnsi="仿宋_GB2312" w:eastAsia="仿宋_GB2312"/>
          <w:sz w:val="32"/>
          <w:szCs w:val="28"/>
          <w:highlight w:val="yellow"/>
        </w:rPr>
        <w:t>持有</w:t>
      </w:r>
      <w:r>
        <w:rPr>
          <w:rFonts w:hint="eastAsia" w:ascii="仿宋_GB2312" w:hAnsi="仿宋_GB2312" w:eastAsia="仿宋_GB2312"/>
          <w:sz w:val="32"/>
          <w:szCs w:val="28"/>
          <w:highlight w:val="yellow"/>
          <w:lang w:eastAsia="zh-CN"/>
        </w:rPr>
        <w:t>本</w:t>
      </w:r>
      <w:r>
        <w:rPr>
          <w:rFonts w:hint="eastAsia" w:ascii="仿宋_GB2312" w:hAnsi="仿宋_GB2312" w:eastAsia="仿宋_GB2312"/>
          <w:sz w:val="32"/>
          <w:szCs w:val="28"/>
          <w:highlight w:val="yellow"/>
        </w:rPr>
        <w:t>地常住户口</w:t>
      </w:r>
      <w:r>
        <w:rPr>
          <w:rFonts w:hint="eastAsia" w:ascii="仿宋_GB2312" w:hAnsi="仿宋_GB2312" w:eastAsia="仿宋_GB2312"/>
          <w:sz w:val="32"/>
          <w:szCs w:val="28"/>
          <w:highlight w:val="yellow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/>
          <w:sz w:val="32"/>
          <w:szCs w:val="28"/>
          <w:highlight w:val="yellow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yellow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yellow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yellow"/>
        </w:rPr>
        <w:t>年满60周岁的低保对象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yellow"/>
          <w:lang w:eastAsia="zh-CN"/>
        </w:rPr>
        <w:t>；</w:t>
      </w:r>
    </w:p>
    <w:p>
      <w:pPr>
        <w:pStyle w:val="22"/>
        <w:spacing w:before="0" w:beforeAutospacing="0" w:after="0" w:afterAutospacing="0" w:line="560" w:lineRule="exact"/>
        <w:ind w:firstLine="624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yellow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yellow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yellow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yellow"/>
          <w:lang w:val="en-US" w:eastAsia="zh-CN" w:bidi="ar"/>
        </w:rPr>
        <w:t>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yellow"/>
        </w:rPr>
        <w:t>没有享受残疾人护理补贴的失能老年人和特困人员中的失能、部分失能老年人。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二、申办程序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书面申请</w:t>
      </w:r>
      <w:r>
        <w:rPr>
          <w:rFonts w:hint="default" w:ascii="Arial" w:hAnsi="Arial" w:eastAsia="仿宋_GB2312" w:cs="Arial"/>
          <w:kern w:val="0"/>
          <w:sz w:val="32"/>
          <w:szCs w:val="32"/>
          <w:lang w:val="en-US" w:eastAsia="zh-CN" w:bidi="ar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乡镇受理、初审</w:t>
      </w:r>
      <w:r>
        <w:rPr>
          <w:rFonts w:hint="default" w:ascii="Arial" w:hAnsi="Arial" w:eastAsia="仿宋_GB2312" w:cs="Arial"/>
          <w:kern w:val="0"/>
          <w:sz w:val="32"/>
          <w:szCs w:val="32"/>
          <w:lang w:val="en-US" w:eastAsia="zh-CN" w:bidi="ar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市民政局审批、公示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75" w:lineRule="atLeast"/>
        <w:ind w:left="0" w:right="0" w:firstLine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申请补贴由老年人本人或法定监护人、法定赡养（扶养）义务人向户籍所在地乡镇人民政府书面申请。本着方便老人申请的原则，也可委托村（居）委会等代为申请。集中供养特困人员的老年人补贴则由供养服务机构统一代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5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请所需材料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申请审批表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. 老年人生活自理能力评估表（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申请护理补贴的须提供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58" w:leftChars="304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身份证、户口本复印件（原件备查验）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.老人本人银行账号复印件。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1984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62915584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10021570</wp:posOffset>
              </wp:positionV>
              <wp:extent cx="466725" cy="127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127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9.35pt;margin-top:789.1pt;height:10.05pt;width:36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yL4Hv2QAAAA4BAAAPAAAAAAAAAAEAIAAAACIAAABkcnMvZG93bnJldi54bWxQSwEC&#10;FAAUAAAACACHTuJAlq0GqLoBAABU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62915584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9812020</wp:posOffset>
              </wp:positionV>
              <wp:extent cx="466725" cy="1276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127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55pt;margin-top:772.6pt;height:10.05pt;width:36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gcVCvYAAAADQEAAA8AAAAAAAAAAQAgAAAAIgAAAGRycy9kb3ducmV2LnhtbFBLAQIU&#10;ABQAAAAIAIdO4kCs9LhRugEAAFQ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5E069"/>
    <w:multiLevelType w:val="singleLevel"/>
    <w:tmpl w:val="C8F5E0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300E"/>
    <w:rsid w:val="0179389F"/>
    <w:rsid w:val="02434B1B"/>
    <w:rsid w:val="052538E5"/>
    <w:rsid w:val="05561C30"/>
    <w:rsid w:val="07234354"/>
    <w:rsid w:val="0762375B"/>
    <w:rsid w:val="091E7EE1"/>
    <w:rsid w:val="09EF711D"/>
    <w:rsid w:val="0BEB339D"/>
    <w:rsid w:val="0E363258"/>
    <w:rsid w:val="0F245FCC"/>
    <w:rsid w:val="0FFB7FF8"/>
    <w:rsid w:val="114C5846"/>
    <w:rsid w:val="11C83540"/>
    <w:rsid w:val="156E6EC0"/>
    <w:rsid w:val="1B2532B1"/>
    <w:rsid w:val="1C73498E"/>
    <w:rsid w:val="1D091A26"/>
    <w:rsid w:val="1D354D72"/>
    <w:rsid w:val="1F0F735B"/>
    <w:rsid w:val="267F65D4"/>
    <w:rsid w:val="27252076"/>
    <w:rsid w:val="29DA1315"/>
    <w:rsid w:val="2B5F091D"/>
    <w:rsid w:val="2BAF0831"/>
    <w:rsid w:val="2DB007AD"/>
    <w:rsid w:val="2F434133"/>
    <w:rsid w:val="2F895777"/>
    <w:rsid w:val="30830D03"/>
    <w:rsid w:val="32E53B26"/>
    <w:rsid w:val="33E10703"/>
    <w:rsid w:val="35085209"/>
    <w:rsid w:val="3559035D"/>
    <w:rsid w:val="370E3383"/>
    <w:rsid w:val="3A8A4B39"/>
    <w:rsid w:val="3B0F15A3"/>
    <w:rsid w:val="3C9109B7"/>
    <w:rsid w:val="42F45BD7"/>
    <w:rsid w:val="44CC62B8"/>
    <w:rsid w:val="451B20EB"/>
    <w:rsid w:val="459F3ED9"/>
    <w:rsid w:val="46EC161A"/>
    <w:rsid w:val="4A0A7A34"/>
    <w:rsid w:val="4CDB5A24"/>
    <w:rsid w:val="4CF36B9C"/>
    <w:rsid w:val="4E8121F5"/>
    <w:rsid w:val="504A094E"/>
    <w:rsid w:val="515043AA"/>
    <w:rsid w:val="51BB4DB5"/>
    <w:rsid w:val="51FC2F5F"/>
    <w:rsid w:val="54761449"/>
    <w:rsid w:val="594B60BC"/>
    <w:rsid w:val="5A5F1048"/>
    <w:rsid w:val="5AFA1A3D"/>
    <w:rsid w:val="5CC27E81"/>
    <w:rsid w:val="5D736F3A"/>
    <w:rsid w:val="5EF937D9"/>
    <w:rsid w:val="60132597"/>
    <w:rsid w:val="603C59E8"/>
    <w:rsid w:val="624F6A57"/>
    <w:rsid w:val="62DF0569"/>
    <w:rsid w:val="63864451"/>
    <w:rsid w:val="63974EB9"/>
    <w:rsid w:val="65066FC6"/>
    <w:rsid w:val="6748477B"/>
    <w:rsid w:val="67FA0921"/>
    <w:rsid w:val="68A9357F"/>
    <w:rsid w:val="6B262F25"/>
    <w:rsid w:val="6D5E2891"/>
    <w:rsid w:val="6DB07204"/>
    <w:rsid w:val="6FC0241C"/>
    <w:rsid w:val="70D139D8"/>
    <w:rsid w:val="74AA4ECE"/>
    <w:rsid w:val="75924F42"/>
    <w:rsid w:val="767D09D0"/>
    <w:rsid w:val="7B212553"/>
    <w:rsid w:val="7ED91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300" w:lineRule="auto"/>
      <w:ind w:firstLine="200"/>
    </w:pPr>
    <w:rPr>
      <w:sz w:val="28"/>
      <w:szCs w:val="28"/>
    </w:r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efore9"/>
    <w:basedOn w:val="7"/>
    <w:qFormat/>
    <w:uiPriority w:val="0"/>
  </w:style>
  <w:style w:type="character" w:customStyle="1" w:styleId="12">
    <w:name w:val="before10"/>
    <w:basedOn w:val="7"/>
    <w:qFormat/>
    <w:uiPriority w:val="0"/>
  </w:style>
  <w:style w:type="character" w:customStyle="1" w:styleId="13">
    <w:name w:val="after1"/>
    <w:basedOn w:val="7"/>
    <w:qFormat/>
    <w:uiPriority w:val="0"/>
    <w:rPr>
      <w:bdr w:val="single" w:color="DDDDDD" w:sz="6" w:space="0"/>
      <w:shd w:val="clear" w:fill="FFFFFF"/>
    </w:rPr>
  </w:style>
  <w:style w:type="character" w:customStyle="1" w:styleId="14">
    <w:name w:val="hover9"/>
    <w:basedOn w:val="7"/>
    <w:qFormat/>
    <w:uiPriority w:val="0"/>
    <w:rPr>
      <w:shd w:val="clear" w:fill="929292"/>
    </w:rPr>
  </w:style>
  <w:style w:type="character" w:customStyle="1" w:styleId="15">
    <w:name w:val="article-icon"/>
    <w:basedOn w:val="7"/>
    <w:qFormat/>
    <w:uiPriority w:val="0"/>
  </w:style>
  <w:style w:type="character" w:customStyle="1" w:styleId="16">
    <w:name w:val="hover14"/>
    <w:basedOn w:val="7"/>
    <w:qFormat/>
    <w:uiPriority w:val="0"/>
    <w:rPr>
      <w:shd w:val="clear" w:fill="929292"/>
    </w:rPr>
  </w:style>
  <w:style w:type="character" w:customStyle="1" w:styleId="17">
    <w:name w:val="before"/>
    <w:basedOn w:val="7"/>
    <w:qFormat/>
    <w:uiPriority w:val="0"/>
  </w:style>
  <w:style w:type="character" w:customStyle="1" w:styleId="18">
    <w:name w:val="before1"/>
    <w:basedOn w:val="7"/>
    <w:qFormat/>
    <w:uiPriority w:val="0"/>
  </w:style>
  <w:style w:type="character" w:customStyle="1" w:styleId="19">
    <w:name w:val="hover13"/>
    <w:basedOn w:val="7"/>
    <w:qFormat/>
    <w:uiPriority w:val="0"/>
    <w:rPr>
      <w:shd w:val="clear" w:fill="929292"/>
    </w:rPr>
  </w:style>
  <w:style w:type="character" w:customStyle="1" w:styleId="20">
    <w:name w:val="after"/>
    <w:basedOn w:val="7"/>
    <w:qFormat/>
    <w:uiPriority w:val="0"/>
    <w:rPr>
      <w:bdr w:val="single" w:color="DDDDDD" w:sz="6" w:space="0"/>
      <w:shd w:val="clear" w:fill="FFFFFF"/>
    </w:rPr>
  </w:style>
  <w:style w:type="character" w:customStyle="1" w:styleId="21">
    <w:name w:val="hover12"/>
    <w:basedOn w:val="7"/>
    <w:qFormat/>
    <w:uiPriority w:val="0"/>
    <w:rPr>
      <w:shd w:val="clear" w:fill="929292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4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25">
    <w:name w:val="Heading #2|1"/>
    <w:basedOn w:val="1"/>
    <w:qFormat/>
    <w:uiPriority w:val="0"/>
    <w:pPr>
      <w:widowControl w:val="0"/>
      <w:shd w:val="clear" w:color="auto" w:fill="auto"/>
      <w:spacing w:after="500" w:line="566" w:lineRule="exact"/>
      <w:jc w:val="center"/>
      <w:outlineLvl w:val="1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2021-12-24T06:36:44Z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75BB02E32E9847CC9B618E00DE6BC588</vt:lpwstr>
  </property>
</Properties>
</file>