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color w:val="auto"/>
          <w:lang w:val="en-US" w:eastAsia="zh-CN"/>
        </w:rPr>
      </w:pPr>
      <w:r>
        <w:rPr>
          <w:rFonts w:hint="eastAsia" w:ascii="宋体" w:hAnsi="宋体" w:eastAsia="方正小标宋简体" w:cs="方正小标宋简体"/>
          <w:sz w:val="44"/>
          <w:szCs w:val="44"/>
          <w:lang w:val="en-US" w:eastAsia="zh-CN"/>
        </w:rPr>
        <w:t>龙南市</w:t>
      </w:r>
      <w:r>
        <w:rPr>
          <w:rFonts w:hint="eastAsia" w:ascii="宋体" w:hAnsi="宋体" w:eastAsia="方正小标宋简体" w:cs="方正小标宋简体"/>
          <w:sz w:val="44"/>
          <w:szCs w:val="44"/>
        </w:rPr>
        <w:t>征集影响营商环境建设问题线索</w:t>
      </w:r>
      <w:r>
        <w:rPr>
          <w:rFonts w:hint="eastAsia" w:ascii="宋体" w:hAnsi="宋体" w:eastAsia="方正小标宋简体" w:cs="方正小标宋简体"/>
          <w:sz w:val="44"/>
          <w:szCs w:val="44"/>
          <w:lang w:val="en-US" w:eastAsia="zh-CN"/>
        </w:rPr>
        <w:t>表</w:t>
      </w:r>
    </w:p>
    <w:tbl>
      <w:tblPr>
        <w:tblStyle w:val="5"/>
        <w:tblW w:w="86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283"/>
        <w:gridCol w:w="1728"/>
        <w:gridCol w:w="1157"/>
        <w:gridCol w:w="1172"/>
        <w:gridCol w:w="149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22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right="0"/>
              <w:jc w:val="center"/>
              <w:textAlignment w:val="auto"/>
              <w:rPr>
                <w:rFonts w:ascii="宋体" w:hAnsi="宋体" w:eastAsia="宋体" w:cs="宋体"/>
                <w:color w:val="auto"/>
                <w:sz w:val="20"/>
                <w:szCs w:val="20"/>
              </w:rPr>
            </w:pPr>
            <w:r>
              <w:rPr>
                <w:rFonts w:ascii="宋体" w:hAnsi="宋体" w:eastAsia="宋体" w:cs="宋体"/>
                <w:b/>
                <w:bCs/>
                <w:color w:val="auto"/>
                <w:spacing w:val="-2"/>
                <w:sz w:val="20"/>
                <w:szCs w:val="20"/>
              </w:rPr>
              <w:t>问题线索名称</w:t>
            </w:r>
          </w:p>
        </w:tc>
        <w:tc>
          <w:tcPr>
            <w:tcW w:w="6386" w:type="dxa"/>
            <w:gridSpan w:val="5"/>
            <w:noWrap w:val="0"/>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224" w:type="dxa"/>
            <w:gridSpan w:val="2"/>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right="0"/>
              <w:jc w:val="center"/>
              <w:textAlignment w:val="auto"/>
              <w:rPr>
                <w:rFonts w:hint="eastAsia" w:ascii="宋体" w:hAnsi="宋体" w:cs="宋体"/>
                <w:b/>
                <w:bCs/>
                <w:color w:val="auto"/>
                <w:spacing w:val="-4"/>
                <w:sz w:val="20"/>
                <w:szCs w:val="20"/>
                <w:lang w:val="en-US" w:eastAsia="zh-CN"/>
              </w:rPr>
            </w:pPr>
            <w:r>
              <w:rPr>
                <w:rFonts w:ascii="宋体" w:hAnsi="宋体" w:eastAsia="宋体" w:cs="宋体"/>
                <w:b/>
                <w:bCs/>
                <w:color w:val="auto"/>
                <w:spacing w:val="-4"/>
                <w:sz w:val="20"/>
                <w:szCs w:val="20"/>
              </w:rPr>
              <w:t>涉及</w:t>
            </w:r>
            <w:r>
              <w:rPr>
                <w:rFonts w:hint="eastAsia" w:ascii="宋体" w:hAnsi="宋体" w:cs="宋体"/>
                <w:b/>
                <w:bCs/>
                <w:color w:val="auto"/>
                <w:spacing w:val="-4"/>
                <w:sz w:val="20"/>
                <w:szCs w:val="20"/>
                <w:lang w:val="en-US" w:eastAsia="zh-CN"/>
              </w:rPr>
              <w:t>问题线索</w:t>
            </w:r>
          </w:p>
          <w:p>
            <w:pPr>
              <w:keepNext w:val="0"/>
              <w:keepLines w:val="0"/>
              <w:pageBreakBefore w:val="0"/>
              <w:widowControl w:val="0"/>
              <w:kinsoku/>
              <w:wordWrap/>
              <w:overflowPunct/>
              <w:topLinePunct w:val="0"/>
              <w:autoSpaceDE/>
              <w:autoSpaceDN/>
              <w:bidi w:val="0"/>
              <w:adjustRightInd/>
              <w:snapToGrid/>
              <w:spacing w:line="220" w:lineRule="auto"/>
              <w:ind w:right="0"/>
              <w:jc w:val="center"/>
              <w:textAlignment w:val="auto"/>
              <w:rPr>
                <w:rFonts w:ascii="宋体" w:hAnsi="宋体" w:eastAsia="宋体" w:cs="宋体"/>
                <w:color w:val="auto"/>
                <w:sz w:val="20"/>
                <w:szCs w:val="20"/>
              </w:rPr>
            </w:pPr>
            <w:r>
              <w:rPr>
                <w:rFonts w:ascii="宋体" w:hAnsi="宋体" w:eastAsia="宋体" w:cs="宋体"/>
                <w:b/>
                <w:bCs/>
                <w:color w:val="auto"/>
                <w:spacing w:val="-4"/>
                <w:sz w:val="20"/>
                <w:szCs w:val="20"/>
              </w:rPr>
              <w:t>基本情况</w:t>
            </w:r>
          </w:p>
        </w:tc>
        <w:tc>
          <w:tcPr>
            <w:tcW w:w="2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right="0"/>
              <w:jc w:val="center"/>
              <w:textAlignment w:val="auto"/>
              <w:rPr>
                <w:rFonts w:ascii="宋体" w:hAnsi="宋体" w:eastAsia="宋体" w:cs="宋体"/>
                <w:color w:val="auto"/>
                <w:sz w:val="20"/>
                <w:szCs w:val="20"/>
              </w:rPr>
            </w:pPr>
            <w:r>
              <w:rPr>
                <w:rFonts w:ascii="宋体" w:hAnsi="宋体" w:eastAsia="宋体" w:cs="宋体"/>
                <w:color w:val="auto"/>
                <w:spacing w:val="5"/>
                <w:sz w:val="20"/>
                <w:szCs w:val="20"/>
              </w:rPr>
              <w:t>主管部门</w:t>
            </w:r>
          </w:p>
        </w:tc>
        <w:tc>
          <w:tcPr>
            <w:tcW w:w="350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right="0"/>
              <w:jc w:val="center"/>
              <w:textAlignment w:val="auto"/>
              <w:rPr>
                <w:rFonts w:ascii="宋体" w:hAnsi="宋体" w:eastAsia="宋体" w:cs="宋体"/>
                <w:color w:val="auto"/>
                <w:sz w:val="20"/>
                <w:szCs w:val="20"/>
              </w:rPr>
            </w:pPr>
            <w:r>
              <w:rPr>
                <w:rFonts w:hint="eastAsia" w:ascii="宋体" w:hAnsi="宋体" w:cs="宋体"/>
                <w:color w:val="auto"/>
                <w:sz w:val="20"/>
                <w:szCs w:val="20"/>
                <w:lang w:val="en-US" w:eastAsia="zh-CN"/>
              </w:rPr>
              <w:t>企业/自然人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2224"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color w:val="auto"/>
                <w:sz w:val="21"/>
              </w:rPr>
            </w:pPr>
          </w:p>
        </w:tc>
        <w:tc>
          <w:tcPr>
            <w:tcW w:w="2885" w:type="dxa"/>
            <w:gridSpan w:val="2"/>
            <w:noWrap w:val="0"/>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color w:val="auto"/>
                <w:sz w:val="21"/>
              </w:rPr>
            </w:pPr>
          </w:p>
        </w:tc>
        <w:tc>
          <w:tcPr>
            <w:tcW w:w="3501" w:type="dxa"/>
            <w:gridSpan w:val="3"/>
            <w:noWrap w:val="0"/>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1" w:hRule="atLeast"/>
          <w:jc w:val="center"/>
        </w:trPr>
        <w:tc>
          <w:tcPr>
            <w:tcW w:w="22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9" w:lineRule="exact"/>
              <w:ind w:right="0"/>
              <w:jc w:val="center"/>
              <w:textAlignment w:val="auto"/>
              <w:rPr>
                <w:rFonts w:ascii="宋体" w:hAnsi="宋体" w:eastAsia="宋体" w:cs="宋体"/>
                <w:color w:val="auto"/>
                <w:sz w:val="20"/>
                <w:szCs w:val="20"/>
              </w:rPr>
            </w:pPr>
            <w:r>
              <w:rPr>
                <w:rFonts w:ascii="宋体" w:hAnsi="宋体" w:eastAsia="宋体" w:cs="宋体"/>
                <w:b/>
                <w:bCs/>
                <w:color w:val="auto"/>
                <w:spacing w:val="-1"/>
                <w:position w:val="4"/>
                <w:sz w:val="20"/>
                <w:szCs w:val="20"/>
              </w:rPr>
              <w:t>问题线索</w:t>
            </w:r>
          </w:p>
          <w:p>
            <w:pPr>
              <w:keepNext w:val="0"/>
              <w:keepLines w:val="0"/>
              <w:pageBreakBefore w:val="0"/>
              <w:widowControl w:val="0"/>
              <w:kinsoku/>
              <w:wordWrap/>
              <w:overflowPunct/>
              <w:topLinePunct w:val="0"/>
              <w:autoSpaceDE/>
              <w:autoSpaceDN/>
              <w:bidi w:val="0"/>
              <w:adjustRightInd/>
              <w:snapToGrid/>
              <w:spacing w:line="218" w:lineRule="auto"/>
              <w:ind w:right="0"/>
              <w:jc w:val="center"/>
              <w:textAlignment w:val="auto"/>
              <w:rPr>
                <w:rFonts w:ascii="宋体" w:hAnsi="宋体" w:eastAsia="宋体" w:cs="宋体"/>
                <w:color w:val="auto"/>
                <w:sz w:val="20"/>
                <w:szCs w:val="20"/>
              </w:rPr>
            </w:pPr>
            <w:r>
              <w:rPr>
                <w:rFonts w:ascii="宋体" w:hAnsi="宋体" w:eastAsia="宋体" w:cs="宋体"/>
                <w:b/>
                <w:bCs/>
                <w:color w:val="auto"/>
                <w:spacing w:val="-4"/>
                <w:sz w:val="20"/>
                <w:szCs w:val="20"/>
              </w:rPr>
              <w:t>基本情况</w:t>
            </w:r>
          </w:p>
        </w:tc>
        <w:tc>
          <w:tcPr>
            <w:tcW w:w="6386" w:type="dxa"/>
            <w:gridSpan w:val="5"/>
            <w:noWrap w:val="0"/>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941" w:type="dxa"/>
            <w:vMerge w:val="restart"/>
            <w:tcBorders>
              <w:top w:val="nil"/>
            </w:tcBorders>
            <w:noWrap w:val="0"/>
            <w:vAlign w:val="center"/>
          </w:tcPr>
          <w:p>
            <w:pPr>
              <w:spacing w:before="62" w:line="248" w:lineRule="auto"/>
              <w:jc w:val="center"/>
              <w:rPr>
                <w:rFonts w:hint="eastAsia" w:ascii="宋体" w:hAnsi="宋体" w:eastAsia="宋体"/>
                <w:color w:val="auto"/>
                <w:sz w:val="21"/>
                <w:lang w:eastAsia="zh-CN"/>
              </w:rPr>
            </w:pPr>
            <w:r>
              <w:rPr>
                <w:rFonts w:hint="eastAsia" w:ascii="宋体" w:hAnsi="宋体" w:eastAsia="宋体" w:cs="宋体"/>
                <w:color w:val="auto"/>
                <w:spacing w:val="2"/>
                <w:sz w:val="20"/>
                <w:szCs w:val="20"/>
              </w:rPr>
              <w:t>问题线索类型</w:t>
            </w:r>
            <w:r>
              <w:rPr>
                <w:rFonts w:hint="eastAsia" w:ascii="宋体" w:hAnsi="宋体" w:cs="宋体"/>
                <w:color w:val="auto"/>
                <w:spacing w:val="2"/>
                <w:sz w:val="20"/>
                <w:szCs w:val="20"/>
                <w:lang w:val="en-US" w:eastAsia="zh-CN"/>
              </w:rPr>
              <w:t>(</w:t>
            </w:r>
            <w:r>
              <w:rPr>
                <w:rFonts w:hint="eastAsia" w:ascii="宋体" w:hAnsi="宋体" w:eastAsia="宋体" w:cs="宋体"/>
                <w:color w:val="auto"/>
                <w:spacing w:val="2"/>
                <w:sz w:val="20"/>
                <w:szCs w:val="20"/>
              </w:rPr>
              <w:t>请在符合的类型后面打“√”</w:t>
            </w:r>
            <w:r>
              <w:rPr>
                <w:rFonts w:hint="eastAsia" w:ascii="宋体" w:hAnsi="宋体" w:cs="宋体"/>
                <w:color w:val="auto"/>
                <w:spacing w:val="2"/>
                <w:sz w:val="20"/>
                <w:szCs w:val="20"/>
                <w:lang w:val="en-US" w:eastAsia="zh-CN"/>
              </w:rPr>
              <w:t>)</w:t>
            </w:r>
          </w:p>
        </w:tc>
        <w:tc>
          <w:tcPr>
            <w:tcW w:w="1283"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0"/>
                <w:sz w:val="20"/>
                <w:szCs w:val="20"/>
                <w:lang w:val="en-US" w:eastAsia="zh-CN"/>
              </w:rPr>
            </w:pPr>
            <w:r>
              <w:rPr>
                <w:rFonts w:hint="eastAsia" w:ascii="宋体" w:hAnsi="宋体" w:cs="宋体"/>
                <w:color w:val="auto"/>
                <w:spacing w:val="0"/>
                <w:sz w:val="20"/>
                <w:szCs w:val="20"/>
                <w:lang w:val="en-US" w:eastAsia="zh-CN"/>
              </w:rPr>
              <w:t>1.阻碍市场准入和退出方面的问题线索。</w:t>
            </w: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hint="eastAsia" w:ascii="宋体" w:hAnsi="宋体" w:eastAsia="宋体" w:cs="宋体"/>
                <w:color w:val="auto"/>
                <w:sz w:val="20"/>
                <w:szCs w:val="20"/>
              </w:rPr>
            </w:pPr>
            <w:r>
              <w:rPr>
                <w:rFonts w:hint="eastAsia" w:ascii="宋体" w:hAnsi="宋体" w:eastAsia="楷体" w:cs="楷体"/>
                <w:b/>
                <w:bCs/>
                <w:color w:val="auto"/>
                <w:sz w:val="20"/>
                <w:szCs w:val="20"/>
              </w:rPr>
              <w:t>1</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限制外地经营主体进入。</w:t>
            </w:r>
            <w:r>
              <w:rPr>
                <w:rFonts w:hint="eastAsia" w:ascii="宋体" w:hAnsi="宋体" w:eastAsia="宋体" w:cs="宋体"/>
                <w:color w:val="auto"/>
                <w:sz w:val="20"/>
                <w:szCs w:val="20"/>
              </w:rPr>
              <w:t>有关地方和单位以备案、注册、年检、认定或设立分支机构等形式，设定不合理条件，提高外地经营主体准入门槛。</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941" w:type="dxa"/>
            <w:vMerge w:val="continue"/>
            <w:noWrap w:val="0"/>
            <w:vAlign w:val="top"/>
          </w:tcPr>
          <w:p>
            <w:pPr>
              <w:rPr>
                <w:rFonts w:ascii="宋体" w:hAnsi="宋体"/>
                <w:color w:val="auto"/>
                <w:sz w:val="21"/>
              </w:rPr>
            </w:pPr>
          </w:p>
        </w:tc>
        <w:tc>
          <w:tcPr>
            <w:tcW w:w="1283"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0"/>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hint="eastAsia" w:ascii="宋体" w:hAnsi="宋体" w:eastAsia="宋体" w:cs="宋体"/>
                <w:color w:val="auto"/>
                <w:sz w:val="20"/>
                <w:szCs w:val="20"/>
              </w:rPr>
            </w:pPr>
            <w:r>
              <w:rPr>
                <w:rFonts w:hint="eastAsia" w:ascii="宋体" w:hAnsi="宋体" w:eastAsia="楷体" w:cs="楷体"/>
                <w:b/>
                <w:bCs/>
                <w:color w:val="auto"/>
                <w:sz w:val="20"/>
                <w:szCs w:val="20"/>
              </w:rPr>
              <w:t>2</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设置不合理业务壁垒。</w:t>
            </w:r>
            <w:r>
              <w:rPr>
                <w:rFonts w:hint="eastAsia" w:ascii="宋体" w:hAnsi="宋体" w:eastAsia="宋体" w:cs="宋体"/>
                <w:color w:val="auto"/>
                <w:sz w:val="20"/>
                <w:szCs w:val="20"/>
              </w:rPr>
              <w:t>有关地方和单位以注册地、所有制、组织形式等条件，排斥、限制经营主体参与招标投标、政府采购等活动。</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jc w:val="center"/>
        </w:trPr>
        <w:tc>
          <w:tcPr>
            <w:tcW w:w="941" w:type="dxa"/>
            <w:vMerge w:val="continue"/>
            <w:noWrap w:val="0"/>
            <w:vAlign w:val="top"/>
          </w:tcPr>
          <w:p>
            <w:pPr>
              <w:rPr>
                <w:rFonts w:ascii="宋体" w:hAnsi="宋体"/>
                <w:color w:val="auto"/>
                <w:sz w:val="21"/>
              </w:rPr>
            </w:pPr>
          </w:p>
        </w:tc>
        <w:tc>
          <w:tcPr>
            <w:tcW w:w="1283"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0"/>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hint="eastAsia" w:ascii="宋体" w:hAnsi="宋体" w:eastAsia="宋体" w:cs="宋体"/>
                <w:color w:val="auto"/>
                <w:sz w:val="20"/>
                <w:szCs w:val="20"/>
              </w:rPr>
            </w:pPr>
            <w:r>
              <w:rPr>
                <w:rFonts w:hint="eastAsia" w:ascii="宋体" w:hAnsi="宋体" w:eastAsia="楷体" w:cs="楷体"/>
                <w:b/>
                <w:bCs/>
                <w:color w:val="auto"/>
                <w:sz w:val="20"/>
                <w:szCs w:val="20"/>
              </w:rPr>
              <w:t>3</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限制市场退出。</w:t>
            </w:r>
            <w:r>
              <w:rPr>
                <w:rFonts w:hint="eastAsia" w:ascii="宋体" w:hAnsi="宋体" w:eastAsia="宋体" w:cs="宋体"/>
                <w:color w:val="auto"/>
                <w:sz w:val="20"/>
                <w:szCs w:val="20"/>
              </w:rPr>
              <w:t>有关地方和单位以列入经营异常名录、暂停办理流程、故意拖延等手段，为企业跨区域经营或迁移设置障碍；为了片面追求本地区经营主体数量增长或未认真落实企业注销“一网通办”制度，导致企业注销难。</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jc w:val="center"/>
        </w:trPr>
        <w:tc>
          <w:tcPr>
            <w:tcW w:w="941" w:type="dxa"/>
            <w:vMerge w:val="continue"/>
            <w:noWrap w:val="0"/>
            <w:vAlign w:val="center"/>
          </w:tcPr>
          <w:p>
            <w:pPr>
              <w:spacing w:before="62" w:line="248" w:lineRule="auto"/>
              <w:jc w:val="left"/>
              <w:rPr>
                <w:rFonts w:ascii="宋体" w:hAnsi="宋体" w:eastAsia="宋体" w:cs="宋体"/>
                <w:color w:val="auto"/>
                <w:sz w:val="15"/>
                <w:szCs w:val="15"/>
              </w:rPr>
            </w:pPr>
          </w:p>
        </w:tc>
        <w:tc>
          <w:tcPr>
            <w:tcW w:w="1283"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0"/>
                <w:sz w:val="20"/>
                <w:szCs w:val="20"/>
                <w:lang w:val="en-US" w:eastAsia="zh-CN"/>
              </w:rPr>
            </w:pPr>
            <w:r>
              <w:rPr>
                <w:rFonts w:hint="eastAsia" w:ascii="宋体" w:hAnsi="宋体" w:cs="宋体"/>
                <w:color w:val="auto"/>
                <w:spacing w:val="0"/>
                <w:sz w:val="20"/>
                <w:szCs w:val="20"/>
                <w:lang w:val="en-US" w:eastAsia="zh-CN"/>
              </w:rPr>
              <w:t>2.妨碍市场</w:t>
            </w:r>
            <w:r>
              <w:rPr>
                <w:rFonts w:hint="eastAsia" w:ascii="宋体" w:hAnsi="宋体" w:cs="宋体"/>
                <w:color w:val="auto"/>
                <w:spacing w:val="-6"/>
                <w:sz w:val="20"/>
                <w:szCs w:val="20"/>
                <w:lang w:val="en-US" w:eastAsia="zh-CN"/>
              </w:rPr>
              <w:t>公平竞争方面的问题线索。</w:t>
            </w: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20"/>
                <w:szCs w:val="20"/>
              </w:rPr>
            </w:pPr>
            <w:r>
              <w:rPr>
                <w:rFonts w:hint="eastAsia" w:ascii="宋体" w:hAnsi="宋体" w:eastAsia="楷体" w:cs="楷体"/>
                <w:b/>
                <w:bCs/>
                <w:color w:val="auto"/>
                <w:sz w:val="20"/>
                <w:szCs w:val="20"/>
              </w:rPr>
              <w:t>1</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滥用行政权力排除、限制竞争。</w:t>
            </w:r>
            <w:r>
              <w:rPr>
                <w:rFonts w:hint="eastAsia" w:ascii="宋体" w:hAnsi="宋体" w:eastAsia="宋体" w:cs="宋体"/>
                <w:color w:val="auto"/>
                <w:sz w:val="20"/>
                <w:szCs w:val="20"/>
              </w:rPr>
              <w:t>有关地方和单位以行政命令、行政授权、行政指导等方式或通过行业协会商会，强制、组织、引导经营者达成垄断协议、滥用市场支配地位或实施其他排除、限制竞争行为。</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9" w:hRule="atLeast"/>
          <w:jc w:val="center"/>
        </w:trPr>
        <w:tc>
          <w:tcPr>
            <w:tcW w:w="941" w:type="dxa"/>
            <w:vMerge w:val="continue"/>
            <w:noWrap w:val="0"/>
            <w:vAlign w:val="top"/>
          </w:tcPr>
          <w:p>
            <w:pPr>
              <w:rPr>
                <w:rFonts w:ascii="宋体" w:hAnsi="宋体"/>
                <w:color w:val="auto"/>
                <w:sz w:val="21"/>
              </w:rPr>
            </w:pPr>
          </w:p>
        </w:tc>
        <w:tc>
          <w:tcPr>
            <w:tcW w:w="1283" w:type="dxa"/>
            <w:vMerge w:val="continue"/>
            <w:tcBorders>
              <w:top w:val="nil"/>
              <w:bottom w:val="nil"/>
            </w:tcBorders>
            <w:noWrap w:val="0"/>
            <w:vAlign w:val="top"/>
          </w:tcPr>
          <w:p>
            <w:pPr>
              <w:rPr>
                <w:rFonts w:ascii="宋体" w:hAnsi="宋体"/>
                <w:color w:val="auto"/>
                <w:sz w:val="21"/>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20"/>
                <w:szCs w:val="20"/>
              </w:rPr>
            </w:pPr>
            <w:r>
              <w:rPr>
                <w:rFonts w:hint="eastAsia" w:ascii="宋体" w:hAnsi="宋体" w:eastAsia="楷体" w:cs="楷体"/>
                <w:b/>
                <w:bCs/>
                <w:color w:val="auto"/>
                <w:sz w:val="20"/>
                <w:szCs w:val="20"/>
              </w:rPr>
              <w:t>2</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实行地方保护。</w:t>
            </w:r>
            <w:r>
              <w:rPr>
                <w:rFonts w:hint="eastAsia" w:ascii="宋体" w:hAnsi="宋体" w:eastAsia="宋体" w:cs="宋体"/>
                <w:color w:val="auto"/>
                <w:sz w:val="20"/>
                <w:szCs w:val="20"/>
              </w:rPr>
              <w:t>有关地方和单位对外地和进口商品、服务采取歧视性措施，实施地方保护的各类优惠政策，对外地经营者在本地的投资或设立的分支机构实行歧视性待遇。</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jc w:val="center"/>
        </w:trPr>
        <w:tc>
          <w:tcPr>
            <w:tcW w:w="941" w:type="dxa"/>
            <w:vMerge w:val="continue"/>
            <w:noWrap w:val="0"/>
            <w:vAlign w:val="center"/>
          </w:tcPr>
          <w:p>
            <w:pPr>
              <w:jc w:val="center"/>
              <w:rPr>
                <w:rFonts w:ascii="宋体" w:hAnsi="宋体"/>
                <w:color w:val="auto"/>
                <w:sz w:val="21"/>
              </w:rPr>
            </w:pPr>
          </w:p>
        </w:tc>
        <w:tc>
          <w:tcPr>
            <w:tcW w:w="1283" w:type="dxa"/>
            <w:vMerge w:val="continue"/>
            <w:tcBorders>
              <w:top w:val="nil"/>
            </w:tcBorders>
            <w:noWrap w:val="0"/>
            <w:vAlign w:val="top"/>
          </w:tcPr>
          <w:p>
            <w:pPr>
              <w:rPr>
                <w:rFonts w:ascii="宋体" w:hAnsi="宋体"/>
                <w:color w:val="auto"/>
                <w:sz w:val="21"/>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20"/>
                <w:szCs w:val="20"/>
              </w:rPr>
            </w:pPr>
            <w:r>
              <w:rPr>
                <w:rFonts w:hint="eastAsia" w:ascii="宋体" w:hAnsi="宋体" w:eastAsia="楷体" w:cs="楷体"/>
                <w:b/>
                <w:bCs/>
                <w:color w:val="auto"/>
                <w:sz w:val="20"/>
                <w:szCs w:val="20"/>
              </w:rPr>
              <w:t>3</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利用优势地位开展不正当竞争。</w:t>
            </w:r>
            <w:r>
              <w:rPr>
                <w:rFonts w:hint="eastAsia" w:ascii="宋体" w:hAnsi="宋体" w:eastAsia="宋体" w:cs="宋体"/>
                <w:color w:val="auto"/>
                <w:sz w:val="20"/>
                <w:szCs w:val="20"/>
              </w:rPr>
              <w:t>有关国有企业、大企业滥用市场优势地位，妨碍民营企业、中小企业等其他经营主体公平参与市场竞争。</w:t>
            </w:r>
          </w:p>
        </w:tc>
        <w:tc>
          <w:tcPr>
            <w:tcW w:w="834" w:type="dxa"/>
            <w:vMerge w:val="restart"/>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jc w:val="center"/>
        </w:trPr>
        <w:tc>
          <w:tcPr>
            <w:tcW w:w="941" w:type="dxa"/>
            <w:vMerge w:val="continue"/>
            <w:noWrap w:val="0"/>
            <w:vAlign w:val="top"/>
          </w:tcPr>
          <w:p>
            <w:pPr>
              <w:spacing w:before="142" w:line="230" w:lineRule="auto"/>
              <w:ind w:left="62" w:right="17"/>
              <w:rPr>
                <w:rFonts w:ascii="宋体" w:hAnsi="宋体"/>
              </w:rPr>
            </w:pPr>
          </w:p>
        </w:tc>
        <w:tc>
          <w:tcPr>
            <w:tcW w:w="1283" w:type="dxa"/>
            <w:vMerge w:val="continue"/>
            <w:noWrap w:val="0"/>
            <w:vAlign w:val="top"/>
          </w:tcPr>
          <w:p>
            <w:pPr>
              <w:spacing w:before="142" w:line="230" w:lineRule="auto"/>
              <w:ind w:left="62" w:right="17"/>
              <w:rPr>
                <w:rFonts w:ascii="宋体" w:hAnsi="宋体"/>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hint="eastAsia" w:ascii="宋体" w:hAnsi="宋体" w:eastAsia="宋体" w:cs="宋体"/>
                <w:color w:val="auto"/>
                <w:sz w:val="20"/>
                <w:szCs w:val="20"/>
              </w:rPr>
            </w:pPr>
            <w:r>
              <w:rPr>
                <w:rFonts w:hint="eastAsia" w:ascii="宋体" w:hAnsi="宋体" w:eastAsia="楷体" w:cs="楷体"/>
                <w:b/>
                <w:bCs/>
                <w:color w:val="auto"/>
                <w:sz w:val="20"/>
                <w:szCs w:val="20"/>
              </w:rPr>
              <w:t>4</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限制经营和指定交易。</w:t>
            </w:r>
            <w:r>
              <w:rPr>
                <w:rFonts w:hint="eastAsia" w:ascii="宋体" w:hAnsi="宋体" w:eastAsia="宋体" w:cs="宋体"/>
                <w:color w:val="auto"/>
                <w:sz w:val="20"/>
                <w:szCs w:val="20"/>
              </w:rPr>
              <w:t>有关地方和单位违法设置特许经营权或未经公平竞争授予经营者特许经营权，限定经营、购买、使用特定经营者提供的商品和服务。</w:t>
            </w:r>
          </w:p>
        </w:tc>
        <w:tc>
          <w:tcPr>
            <w:tcW w:w="834" w:type="dxa"/>
            <w:vMerge w:val="continue"/>
            <w:noWrap w:val="0"/>
            <w:vAlign w:val="center"/>
          </w:tcPr>
          <w:p>
            <w:pPr>
              <w:spacing w:before="142" w:line="230" w:lineRule="auto"/>
              <w:ind w:left="62" w:right="17"/>
              <w:jc w:val="center"/>
              <w:rPr>
                <w:rFonts w:hint="eastAsia" w:ascii="宋体"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9" w:hRule="atLeast"/>
          <w:jc w:val="center"/>
        </w:trPr>
        <w:tc>
          <w:tcPr>
            <w:tcW w:w="941" w:type="dxa"/>
            <w:vMerge w:val="restart"/>
            <w:noWrap w:val="0"/>
            <w:vAlign w:val="center"/>
          </w:tcPr>
          <w:p>
            <w:pPr>
              <w:jc w:val="center"/>
              <w:rPr>
                <w:rFonts w:ascii="宋体" w:hAnsi="宋体"/>
                <w:color w:val="auto"/>
                <w:sz w:val="21"/>
              </w:rPr>
            </w:pPr>
            <w:r>
              <w:rPr>
                <w:rFonts w:hint="eastAsia" w:ascii="宋体" w:hAnsi="宋体" w:eastAsia="宋体" w:cs="宋体"/>
                <w:color w:val="auto"/>
                <w:spacing w:val="2"/>
                <w:sz w:val="20"/>
                <w:szCs w:val="20"/>
              </w:rPr>
              <w:t>问题线索类型</w:t>
            </w:r>
            <w:r>
              <w:rPr>
                <w:rFonts w:hint="eastAsia" w:ascii="宋体" w:hAnsi="宋体" w:cs="宋体"/>
                <w:color w:val="auto"/>
                <w:spacing w:val="2"/>
                <w:sz w:val="20"/>
                <w:szCs w:val="20"/>
                <w:lang w:val="en-US" w:eastAsia="zh-CN"/>
              </w:rPr>
              <w:t>(</w:t>
            </w:r>
            <w:r>
              <w:rPr>
                <w:rFonts w:hint="eastAsia" w:ascii="宋体" w:hAnsi="宋体" w:eastAsia="宋体" w:cs="宋体"/>
                <w:color w:val="auto"/>
                <w:spacing w:val="2"/>
                <w:sz w:val="20"/>
                <w:szCs w:val="20"/>
              </w:rPr>
              <w:t>请在符合的类型后面打“√”</w:t>
            </w:r>
            <w:r>
              <w:rPr>
                <w:rFonts w:hint="eastAsia" w:ascii="宋体" w:hAnsi="宋体" w:cs="宋体"/>
                <w:color w:val="auto"/>
                <w:spacing w:val="2"/>
                <w:sz w:val="20"/>
                <w:szCs w:val="20"/>
                <w:lang w:val="en-US" w:eastAsia="zh-CN"/>
              </w:rPr>
              <w:t>)</w:t>
            </w:r>
          </w:p>
        </w:tc>
        <w:tc>
          <w:tcPr>
            <w:tcW w:w="1283"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r>
              <w:rPr>
                <w:rFonts w:hint="eastAsia" w:ascii="宋体" w:hAnsi="宋体" w:cs="宋体"/>
                <w:color w:val="auto"/>
                <w:spacing w:val="0"/>
                <w:sz w:val="20"/>
                <w:szCs w:val="20"/>
                <w:lang w:val="en-US" w:eastAsia="zh-CN"/>
              </w:rPr>
              <w:t>3.影响政务服务和行政效能方面的问题线索。</w:t>
            </w: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19"/>
                <w:szCs w:val="19"/>
              </w:rPr>
            </w:pPr>
            <w:r>
              <w:rPr>
                <w:rFonts w:hint="eastAsia" w:ascii="宋体" w:hAnsi="宋体" w:eastAsia="楷体" w:cs="楷体"/>
                <w:b/>
                <w:bCs/>
                <w:color w:val="auto"/>
                <w:sz w:val="20"/>
                <w:szCs w:val="20"/>
              </w:rPr>
              <w:t>1</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政务服务不便利。</w:t>
            </w:r>
            <w:r>
              <w:rPr>
                <w:rFonts w:hint="eastAsia" w:ascii="宋体" w:hAnsi="宋体" w:eastAsia="宋体" w:cs="宋体"/>
                <w:color w:val="auto"/>
                <w:sz w:val="20"/>
                <w:szCs w:val="20"/>
              </w:rPr>
              <w:t>有关地方和单位政务服务场所设立不集中、窗口设置不合理，政务移动应用程序数量多、重复注册等，强制要求线上预约或在线提交材料；政务服务热线接办效率不高，投诉建议机制不完善，未认真落实“高效办成一件事”重点事项和要求。</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941" w:type="dxa"/>
            <w:vMerge w:val="continue"/>
            <w:noWrap w:val="0"/>
            <w:vAlign w:val="top"/>
          </w:tcPr>
          <w:p>
            <w:pPr>
              <w:rPr>
                <w:rFonts w:ascii="宋体" w:hAnsi="宋体"/>
                <w:color w:val="auto"/>
                <w:sz w:val="21"/>
              </w:rPr>
            </w:pPr>
          </w:p>
        </w:tc>
        <w:tc>
          <w:tcPr>
            <w:tcW w:w="1283"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19"/>
                <w:szCs w:val="19"/>
              </w:rPr>
            </w:pPr>
            <w:r>
              <w:rPr>
                <w:rFonts w:hint="eastAsia" w:ascii="宋体" w:hAnsi="宋体" w:eastAsia="楷体" w:cs="楷体"/>
                <w:b/>
                <w:bCs/>
                <w:color w:val="auto"/>
                <w:sz w:val="20"/>
                <w:szCs w:val="20"/>
              </w:rPr>
              <w:t>2</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政务服务不规范。</w:t>
            </w:r>
            <w:r>
              <w:rPr>
                <w:rFonts w:hint="eastAsia" w:ascii="宋体" w:hAnsi="宋体" w:eastAsia="宋体" w:cs="宋体"/>
                <w:color w:val="auto"/>
                <w:sz w:val="20"/>
                <w:szCs w:val="20"/>
              </w:rPr>
              <w:t>有关地方和单位在审批中额外、变相增加办理环节和申请材料，首问负责、一次性告知和限时办结等制度落实不到位。</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941" w:type="dxa"/>
            <w:vMerge w:val="continue"/>
            <w:noWrap w:val="0"/>
            <w:vAlign w:val="top"/>
          </w:tcPr>
          <w:p>
            <w:pPr>
              <w:spacing w:before="179" w:line="251" w:lineRule="auto"/>
              <w:ind w:left="62"/>
              <w:rPr>
                <w:rFonts w:ascii="宋体" w:hAnsi="宋体"/>
              </w:rPr>
            </w:pPr>
          </w:p>
        </w:tc>
        <w:tc>
          <w:tcPr>
            <w:tcW w:w="1283"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19"/>
                <w:szCs w:val="19"/>
              </w:rPr>
            </w:pPr>
            <w:r>
              <w:rPr>
                <w:rFonts w:hint="eastAsia" w:ascii="宋体" w:hAnsi="宋体" w:eastAsia="楷体" w:cs="楷体"/>
                <w:b/>
                <w:bCs/>
                <w:color w:val="auto"/>
                <w:sz w:val="20"/>
                <w:szCs w:val="20"/>
              </w:rPr>
              <w:t>3</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政务数据不共享。</w:t>
            </w:r>
            <w:r>
              <w:rPr>
                <w:rFonts w:hint="eastAsia" w:ascii="宋体" w:hAnsi="宋体" w:eastAsia="宋体" w:cs="宋体"/>
                <w:color w:val="auto"/>
                <w:sz w:val="20"/>
                <w:szCs w:val="20"/>
              </w:rPr>
              <w:t>有关地方和单位系统不联通、数据难共享，电子证照数据共享应用不到位，数据共享核验事项仍要求提供实体证照或纸质材料，不同信用管理平台之间信用信息不联通、信用修复进度不一致。</w:t>
            </w:r>
          </w:p>
        </w:tc>
        <w:tc>
          <w:tcPr>
            <w:tcW w:w="834" w:type="dxa"/>
            <w:noWrap w:val="0"/>
            <w:vAlign w:val="center"/>
          </w:tcPr>
          <w:p>
            <w:pPr>
              <w:spacing w:before="179" w:line="251" w:lineRule="auto"/>
              <w:ind w:left="62"/>
              <w:jc w:val="center"/>
              <w:rPr>
                <w:rFonts w:ascii="宋体" w:hAnsi="宋体" w:eastAsia="宋体" w:cs="宋体"/>
                <w:color w:val="auto"/>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941" w:type="dxa"/>
            <w:vMerge w:val="continue"/>
            <w:noWrap w:val="0"/>
            <w:vAlign w:val="top"/>
          </w:tcPr>
          <w:p>
            <w:pPr>
              <w:spacing w:before="179" w:line="251" w:lineRule="auto"/>
              <w:ind w:left="62"/>
              <w:rPr>
                <w:rFonts w:ascii="宋体" w:hAnsi="宋体" w:eastAsia="宋体" w:cs="宋体"/>
                <w:color w:val="auto"/>
                <w:sz w:val="19"/>
                <w:szCs w:val="19"/>
              </w:rPr>
            </w:pPr>
          </w:p>
        </w:tc>
        <w:tc>
          <w:tcPr>
            <w:tcW w:w="1283"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19"/>
                <w:szCs w:val="19"/>
              </w:rPr>
            </w:pPr>
            <w:r>
              <w:rPr>
                <w:rFonts w:hint="eastAsia" w:ascii="宋体" w:hAnsi="宋体" w:eastAsia="楷体" w:cs="楷体"/>
                <w:b/>
                <w:bCs/>
                <w:color w:val="auto"/>
                <w:sz w:val="20"/>
                <w:szCs w:val="20"/>
              </w:rPr>
              <w:t>4</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执法检查不规范。</w:t>
            </w:r>
            <w:r>
              <w:rPr>
                <w:rFonts w:hint="eastAsia" w:ascii="宋体" w:hAnsi="宋体" w:eastAsia="宋体" w:cs="宋体"/>
                <w:color w:val="auto"/>
                <w:sz w:val="20"/>
                <w:szCs w:val="20"/>
              </w:rPr>
              <w:t>有关地方和单位执法检查缺少合理统筹安排、过多过频，简单粗暴、畸轻畸重，影响企业正常生产经营；有关工作人员借机吃拿卡要、牟取私利等。</w:t>
            </w:r>
          </w:p>
        </w:tc>
        <w:tc>
          <w:tcPr>
            <w:tcW w:w="834" w:type="dxa"/>
            <w:noWrap w:val="0"/>
            <w:vAlign w:val="center"/>
          </w:tcPr>
          <w:p>
            <w:pPr>
              <w:spacing w:before="179" w:line="251" w:lineRule="auto"/>
              <w:ind w:left="62"/>
              <w:jc w:val="center"/>
              <w:rPr>
                <w:rFonts w:ascii="宋体" w:hAnsi="宋体" w:eastAsia="宋体" w:cs="宋体"/>
                <w:color w:val="auto"/>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941" w:type="dxa"/>
            <w:vMerge w:val="continue"/>
            <w:noWrap w:val="0"/>
            <w:vAlign w:val="top"/>
          </w:tcPr>
          <w:p>
            <w:pPr>
              <w:spacing w:before="179" w:line="251" w:lineRule="auto"/>
              <w:ind w:left="62"/>
              <w:rPr>
                <w:rFonts w:ascii="宋体" w:hAnsi="宋体" w:eastAsia="宋体" w:cs="宋体"/>
                <w:color w:val="auto"/>
                <w:sz w:val="19"/>
                <w:szCs w:val="19"/>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z w:val="19"/>
                <w:szCs w:val="19"/>
              </w:rPr>
            </w:pPr>
            <w:r>
              <w:rPr>
                <w:rFonts w:hint="eastAsia" w:ascii="宋体" w:hAnsi="宋体" w:eastAsia="楷体" w:cs="楷体"/>
                <w:b/>
                <w:bCs/>
                <w:color w:val="auto"/>
                <w:sz w:val="20"/>
                <w:szCs w:val="20"/>
              </w:rPr>
              <w:t>5</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政企沟通不到位。</w:t>
            </w:r>
            <w:r>
              <w:rPr>
                <w:rFonts w:hint="eastAsia" w:ascii="宋体" w:hAnsi="宋体" w:eastAsia="宋体" w:cs="宋体"/>
                <w:color w:val="auto"/>
                <w:sz w:val="20"/>
                <w:szCs w:val="20"/>
              </w:rPr>
              <w:t>有关地方和单位政策出台前未充分听取和吸收企业意见，出台后宣传解读和舆论引导不够，政策调整和执行“一刀切”、“急转弯”，政府与企业缺乏常态化沟通交流机制，构建亲清政商关系不到位。</w:t>
            </w:r>
          </w:p>
        </w:tc>
        <w:tc>
          <w:tcPr>
            <w:tcW w:w="834" w:type="dxa"/>
            <w:noWrap w:val="0"/>
            <w:vAlign w:val="center"/>
          </w:tcPr>
          <w:p>
            <w:pPr>
              <w:spacing w:before="179" w:line="251" w:lineRule="auto"/>
              <w:ind w:left="62"/>
              <w:jc w:val="center"/>
              <w:rPr>
                <w:rFonts w:ascii="宋体" w:hAnsi="宋体" w:eastAsia="宋体" w:cs="宋体"/>
                <w:color w:val="auto"/>
                <w:sz w:val="19"/>
                <w:szCs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jc w:val="center"/>
        </w:trPr>
        <w:tc>
          <w:tcPr>
            <w:tcW w:w="941" w:type="dxa"/>
            <w:vMerge w:val="continue"/>
            <w:noWrap w:val="0"/>
            <w:vAlign w:val="top"/>
          </w:tcPr>
          <w:p>
            <w:pPr>
              <w:rPr>
                <w:rFonts w:ascii="宋体" w:hAnsi="宋体"/>
                <w:color w:val="auto"/>
                <w:sz w:val="21"/>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r>
              <w:rPr>
                <w:rFonts w:hint="eastAsia" w:ascii="宋体" w:hAnsi="宋体" w:cs="宋体"/>
                <w:color w:val="auto"/>
                <w:spacing w:val="0"/>
                <w:sz w:val="20"/>
                <w:szCs w:val="20"/>
                <w:lang w:val="en-US" w:eastAsia="zh-CN"/>
              </w:rPr>
              <w:t>4.侵害经营主体合法权益方面的问题线索。</w:t>
            </w: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color w:val="auto"/>
                <w:sz w:val="21"/>
              </w:rPr>
            </w:pPr>
            <w:r>
              <w:rPr>
                <w:rFonts w:hint="eastAsia" w:ascii="宋体" w:hAnsi="宋体" w:eastAsia="楷体" w:cs="楷体"/>
                <w:b/>
                <w:bCs/>
                <w:color w:val="auto"/>
                <w:sz w:val="20"/>
                <w:szCs w:val="20"/>
              </w:rPr>
              <w:t>1</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政府承诺不兑现。</w:t>
            </w:r>
            <w:r>
              <w:rPr>
                <w:rFonts w:hint="eastAsia" w:ascii="宋体" w:hAnsi="宋体"/>
                <w:color w:val="auto"/>
                <w:sz w:val="21"/>
              </w:rPr>
              <w:t>有关地方和单位内卷式招商，不顾实际给予政策优惠，但以各种借口拖延不予兑现；在无分歧的情况下拖欠企业账款。</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jc w:val="center"/>
        </w:trPr>
        <w:tc>
          <w:tcPr>
            <w:tcW w:w="941" w:type="dxa"/>
            <w:vMerge w:val="continue"/>
            <w:noWrap w:val="0"/>
            <w:vAlign w:val="top"/>
          </w:tcPr>
          <w:p>
            <w:pPr>
              <w:rPr>
                <w:rFonts w:ascii="宋体" w:hAnsi="宋体"/>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color w:val="auto"/>
                <w:sz w:val="21"/>
              </w:rPr>
            </w:pPr>
            <w:r>
              <w:rPr>
                <w:rFonts w:hint="eastAsia" w:ascii="宋体" w:hAnsi="宋体"/>
                <w:color w:val="auto"/>
                <w:sz w:val="21"/>
              </w:rPr>
              <w:t xml:space="preserve"> </w:t>
            </w:r>
            <w:r>
              <w:rPr>
                <w:rFonts w:hint="eastAsia" w:ascii="宋体" w:hAnsi="宋体" w:eastAsia="楷体" w:cs="楷体"/>
                <w:b/>
                <w:bCs/>
                <w:color w:val="auto"/>
                <w:sz w:val="20"/>
                <w:szCs w:val="20"/>
              </w:rPr>
              <w:t>2</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违规干预企业经营。</w:t>
            </w:r>
            <w:r>
              <w:rPr>
                <w:rFonts w:hint="eastAsia" w:ascii="宋体" w:hAnsi="宋体"/>
                <w:color w:val="auto"/>
                <w:sz w:val="21"/>
              </w:rPr>
              <w:t>有关地方和单位违规干预经济纠纷，超权限、超范围、超数额、超时限查封扣押冻结财产，随意限制民营企业家自由，影响民营企业合法生产经营。</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jc w:val="center"/>
        </w:trPr>
        <w:tc>
          <w:tcPr>
            <w:tcW w:w="941" w:type="dxa"/>
            <w:vMerge w:val="continue"/>
            <w:noWrap w:val="0"/>
            <w:vAlign w:val="top"/>
          </w:tcPr>
          <w:p>
            <w:pPr>
              <w:rPr>
                <w:rFonts w:ascii="宋体" w:hAnsi="宋体"/>
                <w:color w:val="auto"/>
                <w:sz w:val="21"/>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color w:val="auto"/>
                <w:sz w:val="21"/>
              </w:rPr>
            </w:pPr>
            <w:r>
              <w:rPr>
                <w:rFonts w:hint="eastAsia" w:ascii="宋体" w:hAnsi="宋体" w:eastAsia="楷体" w:cs="楷体"/>
                <w:b/>
                <w:bCs/>
                <w:color w:val="auto"/>
                <w:sz w:val="20"/>
                <w:szCs w:val="20"/>
              </w:rPr>
              <w:t>3</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行业协会商会乱收费。</w:t>
            </w:r>
            <w:r>
              <w:rPr>
                <w:rFonts w:hint="eastAsia" w:ascii="宋体" w:hAnsi="宋体"/>
                <w:color w:val="auto"/>
                <w:sz w:val="21"/>
              </w:rPr>
              <w:t>有关协会、商会强制入会并收费，或依托行政影响收费，或通过评比达标表彰、职业资格认定违规收费等。</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jc w:val="center"/>
        </w:trPr>
        <w:tc>
          <w:tcPr>
            <w:tcW w:w="941" w:type="dxa"/>
            <w:vMerge w:val="continue"/>
            <w:noWrap w:val="0"/>
            <w:vAlign w:val="top"/>
          </w:tcPr>
          <w:p>
            <w:pPr>
              <w:rPr>
                <w:rFonts w:ascii="宋体" w:hAnsi="宋体"/>
                <w:color w:val="auto"/>
                <w:sz w:val="21"/>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color w:val="auto"/>
                <w:sz w:val="21"/>
              </w:rPr>
            </w:pPr>
            <w:r>
              <w:rPr>
                <w:rFonts w:hint="eastAsia" w:ascii="宋体" w:hAnsi="宋体" w:eastAsia="楷体" w:cs="楷体"/>
                <w:b/>
                <w:bCs/>
                <w:color w:val="auto"/>
                <w:sz w:val="20"/>
                <w:szCs w:val="20"/>
              </w:rPr>
              <w:t>4</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中介服务机构乱收费。</w:t>
            </w:r>
            <w:r>
              <w:rPr>
                <w:rFonts w:hint="eastAsia" w:ascii="宋体" w:hAnsi="宋体"/>
                <w:color w:val="auto"/>
                <w:sz w:val="21"/>
              </w:rPr>
              <w:t>从事检验、检测、评估、认证、鉴定、公证等业务的中介机构，垄断经营、强制服务、不合理收费等。</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jc w:val="center"/>
        </w:trPr>
        <w:tc>
          <w:tcPr>
            <w:tcW w:w="941" w:type="dxa"/>
            <w:vMerge w:val="continue"/>
            <w:noWrap w:val="0"/>
            <w:vAlign w:val="top"/>
          </w:tcPr>
          <w:p>
            <w:pPr>
              <w:rPr>
                <w:rFonts w:ascii="宋体" w:hAnsi="宋体"/>
                <w:color w:val="auto"/>
                <w:sz w:val="21"/>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color w:val="auto"/>
                <w:sz w:val="21"/>
              </w:rPr>
            </w:pPr>
            <w:r>
              <w:rPr>
                <w:rFonts w:hint="eastAsia" w:ascii="宋体" w:hAnsi="宋体" w:eastAsia="楷体" w:cs="楷体"/>
                <w:b/>
                <w:bCs/>
                <w:color w:val="auto"/>
                <w:sz w:val="20"/>
                <w:szCs w:val="20"/>
              </w:rPr>
              <w:t>5</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知识产权保护不到位。</w:t>
            </w:r>
            <w:r>
              <w:rPr>
                <w:rFonts w:hint="eastAsia" w:ascii="宋体" w:hAnsi="宋体"/>
                <w:color w:val="auto"/>
                <w:sz w:val="21"/>
              </w:rPr>
              <w:t>有关地方和单位未落实知识产权侵权惩罚性赔偿制度、知识产权侵权和行政非诉执行快速处理机制，对经营主体申请商标审查缓慢等。</w:t>
            </w:r>
          </w:p>
        </w:tc>
        <w:tc>
          <w:tcPr>
            <w:tcW w:w="834" w:type="dxa"/>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3" w:hRule="atLeast"/>
          <w:jc w:val="center"/>
        </w:trPr>
        <w:tc>
          <w:tcPr>
            <w:tcW w:w="941" w:type="dxa"/>
            <w:vMerge w:val="continue"/>
            <w:noWrap w:val="0"/>
            <w:vAlign w:val="top"/>
          </w:tcPr>
          <w:p>
            <w:pPr>
              <w:spacing w:line="220" w:lineRule="auto"/>
              <w:ind w:left="41"/>
              <w:rPr>
                <w:rFonts w:ascii="宋体" w:hAnsi="宋体"/>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right="42" w:rightChars="20"/>
              <w:jc w:val="both"/>
              <w:textAlignment w:val="auto"/>
              <w:rPr>
                <w:rFonts w:hint="eastAsia" w:ascii="宋体" w:hAnsi="宋体" w:cs="宋体"/>
                <w:color w:val="auto"/>
                <w:spacing w:val="-6"/>
                <w:sz w:val="20"/>
                <w:szCs w:val="20"/>
                <w:lang w:val="en-US" w:eastAsia="zh-CN"/>
              </w:rPr>
            </w:pPr>
            <w:r>
              <w:rPr>
                <w:rFonts w:hint="eastAsia" w:ascii="宋体" w:hAnsi="宋体" w:cs="宋体"/>
                <w:color w:val="auto"/>
                <w:spacing w:val="0"/>
                <w:sz w:val="20"/>
                <w:szCs w:val="20"/>
                <w:lang w:val="en-US" w:eastAsia="zh-CN"/>
              </w:rPr>
              <w:t>5.影响扩大开放方面的问题线索。</w:t>
            </w: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ascii="宋体" w:hAnsi="宋体" w:eastAsia="宋体" w:cs="宋体"/>
                <w:color w:val="auto"/>
                <w:spacing w:val="-3"/>
                <w:sz w:val="20"/>
                <w:szCs w:val="20"/>
              </w:rPr>
            </w:pPr>
            <w:r>
              <w:rPr>
                <w:rFonts w:hint="eastAsia" w:ascii="宋体" w:hAnsi="宋体" w:eastAsia="楷体" w:cs="楷体"/>
                <w:b/>
                <w:bCs/>
                <w:color w:val="auto"/>
                <w:sz w:val="20"/>
                <w:szCs w:val="20"/>
              </w:rPr>
              <w:t>1</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通关服务不便利。</w:t>
            </w:r>
            <w:r>
              <w:rPr>
                <w:rFonts w:hint="eastAsia" w:ascii="宋体" w:hAnsi="宋体" w:eastAsia="宋体" w:cs="宋体"/>
                <w:color w:val="auto"/>
                <w:spacing w:val="-3"/>
                <w:sz w:val="20"/>
                <w:szCs w:val="20"/>
              </w:rPr>
              <w:t>有关地方和单位在口岸查验、监管执法等方面协作配合不够、工作效率低下，导致边境口岸通关效率低，影响企业进出口贸易等。</w:t>
            </w:r>
          </w:p>
        </w:tc>
        <w:tc>
          <w:tcPr>
            <w:tcW w:w="834" w:type="dxa"/>
            <w:noWrap w:val="0"/>
            <w:vAlign w:val="center"/>
          </w:tcPr>
          <w:p>
            <w:pPr>
              <w:spacing w:line="220" w:lineRule="auto"/>
              <w:ind w:left="41"/>
              <w:jc w:val="center"/>
              <w:rPr>
                <w:rFonts w:ascii="宋体" w:hAnsi="宋体" w:eastAsia="宋体" w:cs="宋体"/>
                <w:color w:val="auto"/>
                <w:spacing w:val="-3"/>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3" w:hRule="atLeast"/>
          <w:jc w:val="center"/>
        </w:trPr>
        <w:tc>
          <w:tcPr>
            <w:tcW w:w="941" w:type="dxa"/>
            <w:vMerge w:val="continue"/>
            <w:noWrap w:val="0"/>
            <w:vAlign w:val="top"/>
          </w:tcPr>
          <w:p>
            <w:pPr>
              <w:spacing w:line="220" w:lineRule="auto"/>
              <w:ind w:left="41"/>
              <w:rPr>
                <w:rFonts w:ascii="宋体" w:hAnsi="宋体"/>
              </w:rPr>
            </w:pPr>
          </w:p>
        </w:tc>
        <w:tc>
          <w:tcPr>
            <w:tcW w:w="1283" w:type="dxa"/>
            <w:vMerge w:val="continue"/>
            <w:noWrap w:val="0"/>
            <w:vAlign w:val="center"/>
          </w:tcPr>
          <w:p>
            <w:pPr>
              <w:spacing w:line="220" w:lineRule="auto"/>
              <w:ind w:left="41"/>
              <w:jc w:val="center"/>
              <w:rPr>
                <w:rFonts w:ascii="宋体" w:hAnsi="宋体"/>
              </w:rPr>
            </w:pPr>
          </w:p>
        </w:tc>
        <w:tc>
          <w:tcPr>
            <w:tcW w:w="555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31" w:leftChars="15" w:right="85"/>
              <w:textAlignment w:val="auto"/>
              <w:rPr>
                <w:rFonts w:hint="eastAsia" w:ascii="宋体" w:hAnsi="宋体" w:eastAsia="宋体" w:cs="宋体"/>
                <w:color w:val="auto"/>
                <w:spacing w:val="-3"/>
                <w:sz w:val="20"/>
                <w:szCs w:val="20"/>
              </w:rPr>
            </w:pPr>
            <w:r>
              <w:rPr>
                <w:rFonts w:hint="eastAsia" w:ascii="宋体" w:hAnsi="宋体" w:eastAsia="楷体" w:cs="楷体"/>
                <w:b/>
                <w:bCs/>
                <w:color w:val="auto"/>
                <w:sz w:val="20"/>
                <w:szCs w:val="20"/>
              </w:rPr>
              <w:t>2</w:t>
            </w:r>
            <w:r>
              <w:rPr>
                <w:rFonts w:hint="eastAsia" w:ascii="宋体" w:hAnsi="宋体" w:eastAsia="楷体" w:cs="楷体"/>
                <w:b/>
                <w:bCs/>
                <w:color w:val="auto"/>
                <w:sz w:val="20"/>
                <w:szCs w:val="20"/>
                <w:lang w:eastAsia="zh-CN"/>
              </w:rPr>
              <w:t>.</w:t>
            </w:r>
            <w:r>
              <w:rPr>
                <w:rFonts w:hint="eastAsia" w:ascii="宋体" w:hAnsi="宋体" w:eastAsia="楷体" w:cs="楷体"/>
                <w:b/>
                <w:bCs/>
                <w:color w:val="auto"/>
                <w:sz w:val="20"/>
                <w:szCs w:val="20"/>
              </w:rPr>
              <w:t>对外资企业实行歧视性措施。</w:t>
            </w:r>
            <w:r>
              <w:rPr>
                <w:rFonts w:hint="eastAsia" w:ascii="宋体" w:hAnsi="宋体" w:eastAsia="宋体" w:cs="宋体"/>
                <w:color w:val="auto"/>
                <w:spacing w:val="-3"/>
                <w:sz w:val="20"/>
                <w:szCs w:val="20"/>
              </w:rPr>
              <w:t>有关地方和单位在除法律法规有明确规定或涉及国家安全领域外，通过限定品牌或以外资品牌为由排斥或歧视外商投资企业及其产品和服务，对外商投资企业及其产品和服务享受政策设置额外条件等。</w:t>
            </w:r>
          </w:p>
        </w:tc>
        <w:tc>
          <w:tcPr>
            <w:tcW w:w="834" w:type="dxa"/>
            <w:noWrap w:val="0"/>
            <w:vAlign w:val="center"/>
          </w:tcPr>
          <w:p>
            <w:pPr>
              <w:spacing w:line="220" w:lineRule="auto"/>
              <w:ind w:left="41"/>
              <w:jc w:val="center"/>
              <w:rPr>
                <w:rFonts w:hint="eastAsia" w:ascii="宋体" w:hAnsi="宋体" w:eastAsia="宋体" w:cs="宋体"/>
                <w:color w:val="auto"/>
                <w:spacing w:val="-3"/>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24" w:hRule="atLeast"/>
          <w:jc w:val="center"/>
        </w:trPr>
        <w:tc>
          <w:tcPr>
            <w:tcW w:w="941" w:type="dxa"/>
            <w:tcBorders>
              <w:bottom w:val="single" w:color="000000" w:sz="4" w:space="0"/>
            </w:tcBorders>
            <w:noWrap w:val="0"/>
            <w:vAlign w:val="center"/>
          </w:tcPr>
          <w:p>
            <w:pPr>
              <w:spacing w:line="220" w:lineRule="auto"/>
              <w:ind w:left="41"/>
              <w:jc w:val="center"/>
              <w:rPr>
                <w:rFonts w:ascii="宋体" w:hAnsi="宋体"/>
              </w:rPr>
            </w:pPr>
            <w:r>
              <w:rPr>
                <w:rFonts w:hint="eastAsia" w:ascii="宋体" w:hAnsi="宋体" w:eastAsia="宋体" w:cs="宋体"/>
                <w:color w:val="auto"/>
                <w:spacing w:val="2"/>
                <w:sz w:val="20"/>
                <w:szCs w:val="20"/>
              </w:rPr>
              <w:t>问题线索类型</w:t>
            </w:r>
            <w:r>
              <w:rPr>
                <w:rFonts w:hint="eastAsia" w:ascii="宋体" w:hAnsi="宋体" w:cs="宋体"/>
                <w:color w:val="auto"/>
                <w:spacing w:val="2"/>
                <w:sz w:val="20"/>
                <w:szCs w:val="20"/>
                <w:lang w:val="en-US" w:eastAsia="zh-CN"/>
              </w:rPr>
              <w:t>(</w:t>
            </w:r>
            <w:r>
              <w:rPr>
                <w:rFonts w:hint="eastAsia" w:ascii="宋体" w:hAnsi="宋体" w:eastAsia="宋体" w:cs="宋体"/>
                <w:color w:val="auto"/>
                <w:spacing w:val="2"/>
                <w:sz w:val="20"/>
                <w:szCs w:val="20"/>
              </w:rPr>
              <w:t>请在符合的类型后面打“√”</w:t>
            </w:r>
            <w:r>
              <w:rPr>
                <w:rFonts w:hint="eastAsia" w:ascii="宋体" w:hAnsi="宋体" w:cs="宋体"/>
                <w:color w:val="auto"/>
                <w:spacing w:val="2"/>
                <w:sz w:val="20"/>
                <w:szCs w:val="20"/>
                <w:lang w:val="en-US" w:eastAsia="zh-CN"/>
              </w:rPr>
              <w:t>)</w:t>
            </w:r>
          </w:p>
        </w:tc>
        <w:tc>
          <w:tcPr>
            <w:tcW w:w="1283" w:type="dxa"/>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57" w:right="21" w:rightChars="10"/>
              <w:jc w:val="both"/>
              <w:textAlignment w:val="auto"/>
              <w:rPr>
                <w:rFonts w:ascii="宋体" w:hAnsi="宋体"/>
              </w:rPr>
            </w:pPr>
            <w:r>
              <w:rPr>
                <w:rFonts w:hint="eastAsia" w:ascii="宋体" w:hAnsi="宋体" w:cs="宋体"/>
                <w:color w:val="auto"/>
                <w:spacing w:val="-6"/>
                <w:sz w:val="20"/>
                <w:szCs w:val="20"/>
                <w:lang w:val="en-US" w:eastAsia="zh-CN"/>
              </w:rPr>
              <w:t>6.其他对政府建设市场化、法治化、国际化一流营商环境方面的意见建议。</w:t>
            </w:r>
          </w:p>
        </w:tc>
        <w:tc>
          <w:tcPr>
            <w:tcW w:w="5552" w:type="dxa"/>
            <w:gridSpan w:val="4"/>
            <w:tcBorders>
              <w:bottom w:val="single" w:color="000000" w:sz="4" w:space="0"/>
            </w:tcBorders>
            <w:noWrap w:val="0"/>
            <w:vAlign w:val="top"/>
          </w:tcPr>
          <w:p>
            <w:pPr>
              <w:spacing w:line="220" w:lineRule="auto"/>
              <w:ind w:left="41"/>
              <w:rPr>
                <w:rFonts w:ascii="宋体" w:hAnsi="宋体" w:eastAsia="宋体" w:cs="宋体"/>
                <w:color w:val="auto"/>
                <w:spacing w:val="-3"/>
                <w:sz w:val="20"/>
                <w:szCs w:val="20"/>
              </w:rPr>
            </w:pPr>
            <w:bookmarkStart w:id="0" w:name="_GoBack"/>
            <w:bookmarkEnd w:id="0"/>
          </w:p>
        </w:tc>
        <w:tc>
          <w:tcPr>
            <w:tcW w:w="834" w:type="dxa"/>
            <w:tcBorders>
              <w:bottom w:val="single" w:color="000000" w:sz="4" w:space="0"/>
            </w:tcBorders>
            <w:noWrap w:val="0"/>
            <w:vAlign w:val="center"/>
          </w:tcPr>
          <w:p>
            <w:pPr>
              <w:spacing w:line="220" w:lineRule="auto"/>
              <w:ind w:left="41"/>
              <w:jc w:val="center"/>
              <w:rPr>
                <w:rFonts w:ascii="宋体" w:hAnsi="宋体" w:eastAsia="宋体" w:cs="宋体"/>
                <w:color w:val="auto"/>
                <w:spacing w:val="-3"/>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2224"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ind w:left="21" w:leftChars="10" w:right="21" w:rightChars="10"/>
              <w:textAlignment w:val="auto"/>
              <w:rPr>
                <w:rFonts w:ascii="宋体" w:hAnsi="宋体" w:eastAsia="宋体" w:cs="Times New Roman"/>
                <w:color w:val="auto"/>
                <w:kern w:val="2"/>
                <w:sz w:val="21"/>
                <w:szCs w:val="24"/>
                <w:lang w:val="en-US" w:eastAsia="zh-CN" w:bidi="ar-SA"/>
              </w:rPr>
            </w:pPr>
            <w:r>
              <w:rPr>
                <w:rFonts w:ascii="宋体" w:hAnsi="宋体" w:eastAsia="宋体" w:cs="宋体"/>
                <w:color w:val="auto"/>
                <w:spacing w:val="-2"/>
                <w:sz w:val="20"/>
                <w:szCs w:val="20"/>
              </w:rPr>
              <w:t>您认为造成问题</w:t>
            </w:r>
            <w:r>
              <w:rPr>
                <w:rFonts w:ascii="宋体" w:hAnsi="宋体" w:eastAsia="宋体" w:cs="宋体"/>
                <w:color w:val="auto"/>
                <w:spacing w:val="4"/>
                <w:sz w:val="20"/>
                <w:szCs w:val="20"/>
              </w:rPr>
              <w:t>发生的原因</w:t>
            </w:r>
          </w:p>
        </w:tc>
        <w:tc>
          <w:tcPr>
            <w:tcW w:w="5552" w:type="dxa"/>
            <w:gridSpan w:val="4"/>
            <w:tcBorders>
              <w:top w:val="single" w:color="000000" w:sz="4" w:space="0"/>
              <w:bottom w:val="single" w:color="000000" w:sz="4" w:space="0"/>
            </w:tcBorders>
            <w:noWrap w:val="0"/>
            <w:vAlign w:val="top"/>
          </w:tcPr>
          <w:p>
            <w:pPr>
              <w:spacing w:before="142" w:line="230" w:lineRule="auto"/>
              <w:ind w:left="62" w:right="17"/>
              <w:rPr>
                <w:rFonts w:hint="eastAsia" w:ascii="宋体" w:hAnsi="宋体" w:eastAsia="楷体" w:cs="楷体"/>
                <w:b/>
                <w:bCs/>
                <w:color w:val="auto"/>
                <w:sz w:val="20"/>
                <w:szCs w:val="20"/>
              </w:rPr>
            </w:pPr>
          </w:p>
        </w:tc>
        <w:tc>
          <w:tcPr>
            <w:tcW w:w="834" w:type="dxa"/>
            <w:tcBorders>
              <w:top w:val="single" w:color="000000" w:sz="4" w:space="0"/>
              <w:bottom w:val="single" w:color="000000" w:sz="4" w:space="0"/>
            </w:tcBorders>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2224"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ind w:left="21" w:leftChars="10" w:right="21" w:rightChars="10"/>
              <w:textAlignment w:val="auto"/>
              <w:rPr>
                <w:rFonts w:ascii="宋体" w:hAnsi="宋体"/>
                <w:color w:val="auto"/>
                <w:sz w:val="21"/>
              </w:rPr>
            </w:pPr>
            <w:r>
              <w:rPr>
                <w:rFonts w:ascii="宋体" w:hAnsi="宋体" w:eastAsia="宋体" w:cs="宋体"/>
                <w:color w:val="auto"/>
                <w:spacing w:val="2"/>
                <w:sz w:val="20"/>
                <w:szCs w:val="20"/>
              </w:rPr>
              <w:t>对解决该问题的</w:t>
            </w:r>
            <w:r>
              <w:rPr>
                <w:rFonts w:ascii="宋体" w:hAnsi="宋体" w:eastAsia="宋体" w:cs="宋体"/>
                <w:color w:val="auto"/>
                <w:spacing w:val="-2"/>
                <w:sz w:val="20"/>
                <w:szCs w:val="20"/>
              </w:rPr>
              <w:t>建议或其他要求</w:t>
            </w:r>
          </w:p>
        </w:tc>
        <w:tc>
          <w:tcPr>
            <w:tcW w:w="5552" w:type="dxa"/>
            <w:gridSpan w:val="4"/>
            <w:tcBorders>
              <w:top w:val="single" w:color="000000" w:sz="4" w:space="0"/>
              <w:bottom w:val="single" w:color="000000" w:sz="4" w:space="0"/>
            </w:tcBorders>
            <w:noWrap w:val="0"/>
            <w:vAlign w:val="top"/>
          </w:tcPr>
          <w:p>
            <w:pPr>
              <w:spacing w:before="142" w:line="230" w:lineRule="auto"/>
              <w:ind w:left="62" w:right="17"/>
              <w:rPr>
                <w:rFonts w:hint="eastAsia" w:ascii="宋体" w:hAnsi="宋体" w:eastAsia="楷体" w:cs="楷体"/>
                <w:b/>
                <w:bCs/>
                <w:color w:val="auto"/>
                <w:sz w:val="20"/>
                <w:szCs w:val="20"/>
              </w:rPr>
            </w:pPr>
          </w:p>
        </w:tc>
        <w:tc>
          <w:tcPr>
            <w:tcW w:w="834" w:type="dxa"/>
            <w:tcBorders>
              <w:top w:val="single" w:color="000000" w:sz="4" w:space="0"/>
              <w:bottom w:val="single" w:color="000000" w:sz="4" w:space="0"/>
            </w:tcBorders>
            <w:noWrap w:val="0"/>
            <w:vAlign w:val="center"/>
          </w:tcPr>
          <w:p>
            <w:pPr>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2224" w:type="dxa"/>
            <w:gridSpan w:val="2"/>
            <w:vMerge w:val="restart"/>
            <w:tcBorders>
              <w:top w:val="single" w:color="000000" w:sz="4" w:space="0"/>
              <w:bottom w:val="single" w:color="000000" w:sz="4" w:space="0"/>
            </w:tcBorders>
            <w:noWrap w:val="0"/>
            <w:vAlign w:val="center"/>
          </w:tcPr>
          <w:p>
            <w:pPr>
              <w:jc w:val="center"/>
              <w:rPr>
                <w:rFonts w:ascii="宋体" w:hAnsi="宋体"/>
                <w:color w:val="auto"/>
                <w:sz w:val="21"/>
              </w:rPr>
            </w:pPr>
            <w:r>
              <w:rPr>
                <w:rFonts w:ascii="宋体" w:hAnsi="宋体" w:eastAsia="宋体" w:cs="宋体"/>
                <w:color w:val="auto"/>
                <w:spacing w:val="2"/>
                <w:sz w:val="20"/>
                <w:szCs w:val="20"/>
              </w:rPr>
              <w:t>线索提供者信息</w:t>
            </w:r>
          </w:p>
        </w:tc>
        <w:tc>
          <w:tcPr>
            <w:tcW w:w="1728" w:type="dxa"/>
            <w:tcBorders>
              <w:top w:val="single" w:color="000000" w:sz="4" w:space="0"/>
              <w:bottom w:val="single" w:color="000000" w:sz="4" w:space="0"/>
            </w:tcBorders>
            <w:noWrap w:val="0"/>
            <w:vAlign w:val="center"/>
          </w:tcPr>
          <w:p>
            <w:pPr>
              <w:spacing w:before="65" w:line="219" w:lineRule="auto"/>
              <w:jc w:val="center"/>
              <w:rPr>
                <w:rFonts w:ascii="宋体" w:hAnsi="宋体" w:eastAsia="宋体" w:cs="宋体"/>
                <w:color w:val="auto"/>
                <w:kern w:val="2"/>
                <w:sz w:val="20"/>
                <w:szCs w:val="20"/>
                <w:lang w:val="en-US" w:eastAsia="zh-CN" w:bidi="ar-SA"/>
              </w:rPr>
            </w:pPr>
            <w:r>
              <w:rPr>
                <w:rFonts w:ascii="宋体" w:hAnsi="宋体" w:eastAsia="宋体" w:cs="宋体"/>
                <w:color w:val="auto"/>
                <w:spacing w:val="-4"/>
                <w:sz w:val="20"/>
                <w:szCs w:val="20"/>
              </w:rPr>
              <w:t>姓</w:t>
            </w:r>
            <w:r>
              <w:rPr>
                <w:rFonts w:ascii="宋体" w:hAnsi="宋体" w:eastAsia="宋体" w:cs="宋体"/>
                <w:color w:val="auto"/>
                <w:spacing w:val="21"/>
                <w:sz w:val="20"/>
                <w:szCs w:val="20"/>
              </w:rPr>
              <w:t xml:space="preserve">  </w:t>
            </w:r>
            <w:r>
              <w:rPr>
                <w:rFonts w:ascii="宋体" w:hAnsi="宋体" w:eastAsia="宋体" w:cs="宋体"/>
                <w:color w:val="auto"/>
                <w:spacing w:val="-4"/>
                <w:sz w:val="20"/>
                <w:szCs w:val="20"/>
              </w:rPr>
              <w:t>名</w:t>
            </w:r>
          </w:p>
        </w:tc>
        <w:tc>
          <w:tcPr>
            <w:tcW w:w="2329" w:type="dxa"/>
            <w:gridSpan w:val="2"/>
            <w:tcBorders>
              <w:top w:val="single" w:color="000000" w:sz="4" w:space="0"/>
              <w:bottom w:val="single" w:color="000000" w:sz="4" w:space="0"/>
            </w:tcBorders>
            <w:noWrap w:val="0"/>
            <w:vAlign w:val="center"/>
          </w:tcPr>
          <w:p>
            <w:pPr>
              <w:spacing w:before="65" w:line="220" w:lineRule="auto"/>
              <w:jc w:val="center"/>
              <w:rPr>
                <w:rFonts w:ascii="宋体" w:hAnsi="宋体" w:eastAsia="宋体" w:cs="宋体"/>
                <w:color w:val="auto"/>
                <w:kern w:val="2"/>
                <w:sz w:val="20"/>
                <w:szCs w:val="20"/>
                <w:lang w:val="en-US" w:eastAsia="zh-CN" w:bidi="ar-SA"/>
              </w:rPr>
            </w:pPr>
            <w:r>
              <w:rPr>
                <w:rFonts w:ascii="宋体" w:hAnsi="宋体" w:eastAsia="宋体" w:cs="宋体"/>
                <w:color w:val="auto"/>
                <w:spacing w:val="-2"/>
                <w:sz w:val="20"/>
                <w:szCs w:val="20"/>
              </w:rPr>
              <w:t>工作单位</w:t>
            </w:r>
          </w:p>
        </w:tc>
        <w:tc>
          <w:tcPr>
            <w:tcW w:w="2329" w:type="dxa"/>
            <w:gridSpan w:val="2"/>
            <w:tcBorders>
              <w:top w:val="single" w:color="000000" w:sz="4" w:space="0"/>
              <w:bottom w:val="single" w:color="000000" w:sz="4" w:space="0"/>
            </w:tcBorders>
            <w:noWrap w:val="0"/>
            <w:vAlign w:val="center"/>
          </w:tcPr>
          <w:p>
            <w:pPr>
              <w:spacing w:before="65" w:line="221" w:lineRule="auto"/>
              <w:jc w:val="center"/>
              <w:rPr>
                <w:rFonts w:ascii="宋体" w:hAnsi="宋体" w:eastAsia="宋体" w:cs="宋体"/>
                <w:color w:val="auto"/>
                <w:kern w:val="2"/>
                <w:sz w:val="20"/>
                <w:szCs w:val="20"/>
                <w:lang w:val="en-US" w:eastAsia="zh-CN" w:bidi="ar-SA"/>
              </w:rPr>
            </w:pPr>
            <w:r>
              <w:rPr>
                <w:rFonts w:ascii="宋体" w:hAnsi="宋体" w:eastAsia="宋体" w:cs="宋体"/>
                <w:color w:val="auto"/>
                <w:spacing w:val="-2"/>
                <w:sz w:val="20"/>
                <w:szCs w:val="2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2224" w:type="dxa"/>
            <w:gridSpan w:val="2"/>
            <w:vMerge w:val="continue"/>
            <w:tcBorders>
              <w:top w:val="single" w:color="000000" w:sz="4" w:space="0"/>
              <w:bottom w:val="single" w:color="000000" w:sz="4" w:space="0"/>
            </w:tcBorders>
            <w:noWrap w:val="0"/>
            <w:vAlign w:val="center"/>
          </w:tcPr>
          <w:p>
            <w:pPr>
              <w:jc w:val="center"/>
              <w:rPr>
                <w:rFonts w:ascii="宋体" w:hAnsi="宋体"/>
              </w:rPr>
            </w:pPr>
          </w:p>
        </w:tc>
        <w:tc>
          <w:tcPr>
            <w:tcW w:w="1728" w:type="dxa"/>
            <w:tcBorders>
              <w:top w:val="single" w:color="000000" w:sz="4" w:space="0"/>
              <w:bottom w:val="single" w:color="000000" w:sz="4" w:space="0"/>
            </w:tcBorders>
            <w:noWrap w:val="0"/>
            <w:vAlign w:val="center"/>
          </w:tcPr>
          <w:p>
            <w:pPr>
              <w:jc w:val="center"/>
              <w:rPr>
                <w:rFonts w:ascii="宋体" w:hAnsi="宋体" w:eastAsia="宋体" w:cs="Times New Roman"/>
                <w:color w:val="auto"/>
                <w:kern w:val="2"/>
                <w:sz w:val="21"/>
                <w:szCs w:val="24"/>
                <w:lang w:val="en-US" w:eastAsia="zh-CN" w:bidi="ar-SA"/>
              </w:rPr>
            </w:pPr>
          </w:p>
        </w:tc>
        <w:tc>
          <w:tcPr>
            <w:tcW w:w="2329" w:type="dxa"/>
            <w:gridSpan w:val="2"/>
            <w:tcBorders>
              <w:top w:val="single" w:color="000000" w:sz="4" w:space="0"/>
              <w:bottom w:val="single" w:color="000000" w:sz="4" w:space="0"/>
            </w:tcBorders>
            <w:noWrap w:val="0"/>
            <w:vAlign w:val="center"/>
          </w:tcPr>
          <w:p>
            <w:pPr>
              <w:jc w:val="center"/>
              <w:rPr>
                <w:rFonts w:ascii="宋体" w:hAnsi="宋体" w:eastAsia="宋体" w:cs="Times New Roman"/>
                <w:color w:val="auto"/>
                <w:kern w:val="2"/>
                <w:sz w:val="21"/>
                <w:szCs w:val="24"/>
                <w:lang w:val="en-US" w:eastAsia="zh-CN" w:bidi="ar-SA"/>
              </w:rPr>
            </w:pPr>
          </w:p>
        </w:tc>
        <w:tc>
          <w:tcPr>
            <w:tcW w:w="2329" w:type="dxa"/>
            <w:gridSpan w:val="2"/>
            <w:tcBorders>
              <w:top w:val="single" w:color="000000" w:sz="4" w:space="0"/>
              <w:bottom w:val="single" w:color="000000" w:sz="4" w:space="0"/>
            </w:tcBorders>
            <w:noWrap w:val="0"/>
            <w:vAlign w:val="center"/>
          </w:tcPr>
          <w:p>
            <w:pPr>
              <w:jc w:val="center"/>
              <w:rPr>
                <w:rFonts w:ascii="宋体" w:hAnsi="宋体" w:eastAsia="宋体" w:cs="Times New Roman"/>
                <w:color w:val="auto"/>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0" w:hRule="atLeast"/>
          <w:jc w:val="center"/>
        </w:trPr>
        <w:tc>
          <w:tcPr>
            <w:tcW w:w="2224" w:type="dxa"/>
            <w:gridSpan w:val="2"/>
            <w:vMerge w:val="continue"/>
            <w:tcBorders>
              <w:top w:val="single" w:color="000000" w:sz="4" w:space="0"/>
            </w:tcBorders>
            <w:noWrap w:val="0"/>
            <w:vAlign w:val="center"/>
          </w:tcPr>
          <w:p>
            <w:pPr>
              <w:jc w:val="center"/>
              <w:rPr>
                <w:rFonts w:ascii="宋体" w:hAnsi="宋体"/>
              </w:rPr>
            </w:pPr>
          </w:p>
        </w:tc>
        <w:tc>
          <w:tcPr>
            <w:tcW w:w="6386" w:type="dxa"/>
            <w:gridSpan w:val="5"/>
            <w:tcBorders>
              <w:top w:val="single" w:color="000000" w:sz="4" w:space="0"/>
            </w:tcBorders>
            <w:noWrap w:val="0"/>
            <w:vAlign w:val="center"/>
          </w:tcPr>
          <w:p>
            <w:pPr>
              <w:ind w:firstLine="208" w:firstLineChars="100"/>
              <w:jc w:val="left"/>
              <w:rPr>
                <w:rFonts w:ascii="宋体" w:hAnsi="宋体" w:eastAsia="宋体" w:cs="宋体"/>
                <w:color w:val="auto"/>
                <w:spacing w:val="4"/>
                <w:sz w:val="20"/>
                <w:szCs w:val="20"/>
              </w:rPr>
            </w:pPr>
            <w:r>
              <w:rPr>
                <w:rFonts w:ascii="宋体" w:hAnsi="宋体" w:eastAsia="宋体" w:cs="宋体"/>
                <w:color w:val="auto"/>
                <w:spacing w:val="4"/>
                <w:sz w:val="20"/>
                <w:szCs w:val="20"/>
              </w:rPr>
              <w:t>我谨承诺对上述材料的真实性负完全法律责任。</w:t>
            </w:r>
          </w:p>
          <w:p>
            <w:pPr>
              <w:wordWrap w:val="0"/>
              <w:jc w:val="right"/>
              <w:rPr>
                <w:rFonts w:hint="default" w:ascii="宋体" w:hAnsi="宋体" w:eastAsia="宋体" w:cs="Times New Roman"/>
                <w:color w:val="auto"/>
                <w:kern w:val="2"/>
                <w:sz w:val="21"/>
                <w:szCs w:val="24"/>
                <w:lang w:val="en-US" w:eastAsia="zh-CN" w:bidi="ar-SA"/>
              </w:rPr>
            </w:pPr>
            <w:r>
              <w:rPr>
                <w:rFonts w:ascii="宋体" w:hAnsi="宋体" w:eastAsia="宋体" w:cs="宋体"/>
                <w:color w:val="auto"/>
                <w:spacing w:val="4"/>
                <w:sz w:val="20"/>
                <w:szCs w:val="20"/>
              </w:rPr>
              <w:t>签名：</w:t>
            </w:r>
            <w:r>
              <w:rPr>
                <w:rFonts w:hint="eastAsia" w:ascii="宋体" w:hAnsi="宋体" w:cs="宋体"/>
                <w:color w:val="auto"/>
                <w:spacing w:val="4"/>
                <w:sz w:val="20"/>
                <w:szCs w:val="20"/>
                <w:lang w:val="en-US" w:eastAsia="zh-CN"/>
              </w:rPr>
              <w:t xml:space="preserve">           </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MzAwZTUzZTJiYzc5ZDJkZjdlNzIxMTdjMDFjYWYifQ=="/>
    <w:docVar w:name="KSO_WPS_MARK_KEY" w:val="1f1fb7ac-b721-44b7-a857-3524ec82b5b2"/>
  </w:docVars>
  <w:rsids>
    <w:rsidRoot w:val="3AA1425B"/>
    <w:rsid w:val="04390EE3"/>
    <w:rsid w:val="20C04A0E"/>
    <w:rsid w:val="2C972446"/>
    <w:rsid w:val="3AA1425B"/>
    <w:rsid w:val="4F2357E9"/>
    <w:rsid w:val="546223F0"/>
    <w:rsid w:val="692E2178"/>
    <w:rsid w:val="6B6C3343"/>
    <w:rsid w:val="6F75500A"/>
    <w:rsid w:val="76CD1E2E"/>
    <w:rsid w:val="78DF4BA6"/>
    <w:rsid w:val="7D080444"/>
    <w:rsid w:val="7DB8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2"/>
    <w:basedOn w:val="1"/>
    <w:next w:val="1"/>
    <w:qFormat/>
    <w:uiPriority w:val="0"/>
    <w:pPr>
      <w:keepNext/>
      <w:keepLines/>
      <w:spacing w:line="416" w:lineRule="auto"/>
      <w:jc w:val="both"/>
      <w:textAlignment w:val="baseline"/>
    </w:pPr>
    <w:rPr>
      <w:rFonts w:ascii="Arial" w:hAnsi="Arial" w:eastAsia="黑体" w:cs="Arial"/>
      <w:b/>
      <w:bCs/>
      <w:kern w:val="2"/>
      <w:sz w:val="32"/>
      <w:szCs w:val="32"/>
      <w:lang w:val="en-US" w:eastAsia="zh-CN" w:bidi="ar-SA"/>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1751</Words>
  <Characters>1776</Characters>
  <Lines>0</Lines>
  <Paragraphs>0</Paragraphs>
  <TotalTime>5</TotalTime>
  <ScaleCrop>false</ScaleCrop>
  <LinksUpToDate>false</LinksUpToDate>
  <CharactersWithSpaces>1790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2023-06-02T02:55:00Z</dcterms:created>
  <dc:creator>zlc181014-1</dc:creator>
  <cp:lastModifiedBy>WPS_1568768511</cp:lastModifiedBy>
  <cp:lastPrinted>2024-02-02T08:28:00Z</cp:lastPrinted>
  <dcterms:modified xsi:type="dcterms:W3CDTF">2024-02-04T02:15:05Z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0ECCBB4E9478439F819C25710FB4DEDB_13</vt:lpwstr>
  </property>
</Properties>
</file>