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i w:val="0"/>
          <w:iCs w:val="0"/>
          <w:caps w:val="0"/>
          <w:color w:val="auto"/>
          <w:spacing w:val="0"/>
          <w:sz w:val="36"/>
          <w:szCs w:val="36"/>
          <w:shd w:val="clear" w:fill="FFFFFF"/>
          <w:lang w:eastAsia="zh-CN"/>
        </w:rPr>
        <w:t>龙南市</w:t>
      </w:r>
      <w:r>
        <w:rPr>
          <w:rFonts w:hint="eastAsia" w:ascii="方正小标宋简体" w:hAnsi="方正小标宋简体" w:eastAsia="方正小标宋简体" w:cs="方正小标宋简体"/>
          <w:b w:val="0"/>
          <w:bCs w:val="0"/>
          <w:i w:val="0"/>
          <w:iCs w:val="0"/>
          <w:caps w:val="0"/>
          <w:color w:val="auto"/>
          <w:spacing w:val="0"/>
          <w:sz w:val="36"/>
          <w:szCs w:val="36"/>
          <w:shd w:val="clear" w:fill="FFFFFF"/>
        </w:rPr>
        <w:t>公办幼儿园保</w:t>
      </w:r>
      <w:r>
        <w:rPr>
          <w:rFonts w:hint="eastAsia" w:ascii="方正小标宋简体" w:hAnsi="方正小标宋简体" w:eastAsia="方正小标宋简体" w:cs="方正小标宋简体"/>
          <w:b w:val="0"/>
          <w:bCs w:val="0"/>
          <w:i w:val="0"/>
          <w:iCs w:val="0"/>
          <w:caps w:val="0"/>
          <w:color w:val="auto"/>
          <w:spacing w:val="0"/>
          <w:sz w:val="36"/>
          <w:szCs w:val="36"/>
          <w:shd w:val="clear" w:fill="FFFFFF"/>
          <w:lang w:eastAsia="zh-CN"/>
        </w:rPr>
        <w:t>育</w:t>
      </w:r>
      <w:r>
        <w:rPr>
          <w:rFonts w:hint="eastAsia" w:ascii="方正小标宋简体" w:hAnsi="方正小标宋简体" w:eastAsia="方正小标宋简体" w:cs="方正小标宋简体"/>
          <w:b w:val="0"/>
          <w:bCs w:val="0"/>
          <w:i w:val="0"/>
          <w:iCs w:val="0"/>
          <w:caps w:val="0"/>
          <w:color w:val="auto"/>
          <w:spacing w:val="0"/>
          <w:sz w:val="36"/>
          <w:szCs w:val="36"/>
          <w:shd w:val="clear" w:fill="FFFFFF"/>
        </w:rPr>
        <w:t>教</w:t>
      </w:r>
      <w:r>
        <w:rPr>
          <w:rFonts w:hint="eastAsia" w:ascii="方正小标宋简体" w:hAnsi="方正小标宋简体" w:eastAsia="方正小标宋简体" w:cs="方正小标宋简体"/>
          <w:b w:val="0"/>
          <w:bCs w:val="0"/>
          <w:i w:val="0"/>
          <w:iCs w:val="0"/>
          <w:caps w:val="0"/>
          <w:color w:val="auto"/>
          <w:spacing w:val="0"/>
          <w:sz w:val="36"/>
          <w:szCs w:val="36"/>
          <w:shd w:val="clear" w:fill="FFFFFF"/>
          <w:lang w:eastAsia="zh-CN"/>
        </w:rPr>
        <w:t>育</w:t>
      </w:r>
      <w:r>
        <w:rPr>
          <w:rFonts w:hint="eastAsia" w:ascii="方正小标宋简体" w:hAnsi="方正小标宋简体" w:eastAsia="方正小标宋简体" w:cs="方正小标宋简体"/>
          <w:b w:val="0"/>
          <w:bCs w:val="0"/>
          <w:i w:val="0"/>
          <w:iCs w:val="0"/>
          <w:caps w:val="0"/>
          <w:color w:val="auto"/>
          <w:spacing w:val="0"/>
          <w:sz w:val="36"/>
          <w:szCs w:val="36"/>
          <w:shd w:val="clear" w:fill="FFFFFF"/>
        </w:rPr>
        <w:t>费收费标准调整听证方案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default" w:ascii="仿宋_GB2312" w:hAnsi="仿宋_BG2312" w:eastAsia="仿宋_GB2312" w:cs="仿宋_GB2312"/>
          <w:color w:val="auto"/>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依据</w:t>
      </w:r>
      <w:r>
        <w:rPr>
          <w:rFonts w:hint="eastAsia" w:ascii="仿宋" w:hAnsi="仿宋" w:eastAsia="仿宋" w:cs="仿宋"/>
          <w:color w:val="auto"/>
          <w:sz w:val="32"/>
          <w:szCs w:val="32"/>
          <w:lang w:eastAsia="zh-CN"/>
        </w:rPr>
        <w:t>《中华人民共和国价格法》</w:t>
      </w:r>
      <w:r>
        <w:rPr>
          <w:rFonts w:hint="eastAsia" w:ascii="仿宋" w:hAnsi="仿宋" w:eastAsia="仿宋" w:cs="仿宋"/>
          <w:color w:val="auto"/>
          <w:sz w:val="32"/>
          <w:szCs w:val="32"/>
        </w:rPr>
        <w:t>和《政府制定价格听证办法》的有关规定，</w:t>
      </w:r>
      <w:r>
        <w:rPr>
          <w:rFonts w:hint="eastAsia" w:ascii="仿宋" w:hAnsi="仿宋" w:eastAsia="仿宋" w:cs="仿宋"/>
          <w:color w:val="auto"/>
          <w:sz w:val="32"/>
          <w:szCs w:val="32"/>
          <w:lang w:eastAsia="zh-CN"/>
        </w:rPr>
        <w:t>我委</w:t>
      </w:r>
      <w:r>
        <w:rPr>
          <w:rFonts w:hint="eastAsia" w:ascii="仿宋" w:hAnsi="仿宋" w:eastAsia="仿宋" w:cs="仿宋"/>
          <w:color w:val="auto"/>
          <w:sz w:val="32"/>
          <w:szCs w:val="32"/>
        </w:rPr>
        <w:t>对</w:t>
      </w:r>
      <w:r>
        <w:rPr>
          <w:rFonts w:hint="eastAsia" w:ascii="仿宋" w:hAnsi="仿宋" w:eastAsia="仿宋" w:cs="仿宋"/>
          <w:b w:val="0"/>
          <w:bCs w:val="0"/>
          <w:color w:val="auto"/>
          <w:sz w:val="32"/>
          <w:szCs w:val="32"/>
          <w:lang w:val="en-US" w:eastAsia="zh-CN"/>
        </w:rPr>
        <w:t>龙南市第一公办幼儿园等7家幼儿园进行了</w:t>
      </w:r>
      <w:r>
        <w:rPr>
          <w:rFonts w:hint="eastAsia" w:ascii="仿宋" w:hAnsi="仿宋" w:eastAsia="仿宋" w:cs="仿宋"/>
          <w:color w:val="auto"/>
          <w:sz w:val="32"/>
          <w:szCs w:val="32"/>
        </w:rPr>
        <w:t>成本</w:t>
      </w:r>
      <w:r>
        <w:rPr>
          <w:rFonts w:hint="eastAsia" w:ascii="仿宋" w:hAnsi="仿宋" w:eastAsia="仿宋" w:cs="仿宋"/>
          <w:color w:val="auto"/>
          <w:sz w:val="32"/>
          <w:szCs w:val="32"/>
          <w:lang w:eastAsia="zh-CN"/>
        </w:rPr>
        <w:t>监审，在</w:t>
      </w:r>
      <w:r>
        <w:rPr>
          <w:rFonts w:hint="eastAsia" w:ascii="仿宋" w:hAnsi="仿宋" w:eastAsia="仿宋" w:cs="仿宋"/>
          <w:color w:val="auto"/>
          <w:sz w:val="32"/>
          <w:szCs w:val="32"/>
        </w:rPr>
        <w:t>成本</w:t>
      </w:r>
      <w:r>
        <w:rPr>
          <w:rFonts w:hint="eastAsia" w:ascii="仿宋" w:hAnsi="仿宋" w:eastAsia="仿宋" w:cs="仿宋"/>
          <w:color w:val="auto"/>
          <w:sz w:val="32"/>
          <w:szCs w:val="32"/>
          <w:lang w:eastAsia="zh-CN"/>
        </w:rPr>
        <w:t>监审</w:t>
      </w:r>
      <w:r>
        <w:rPr>
          <w:rFonts w:hint="eastAsia" w:ascii="仿宋" w:hAnsi="仿宋" w:eastAsia="仿宋" w:cs="仿宋"/>
          <w:color w:val="auto"/>
          <w:sz w:val="32"/>
          <w:szCs w:val="32"/>
        </w:rPr>
        <w:t>的基础上，充分考虑居民经济承受能力等因素，</w:t>
      </w:r>
      <w:r>
        <w:rPr>
          <w:rFonts w:hint="eastAsia" w:ascii="仿宋" w:hAnsi="仿宋" w:eastAsia="仿宋" w:cs="仿宋"/>
          <w:i w:val="0"/>
          <w:iCs w:val="0"/>
          <w:caps w:val="0"/>
          <w:color w:val="auto"/>
          <w:spacing w:val="0"/>
          <w:sz w:val="32"/>
          <w:szCs w:val="32"/>
          <w:shd w:val="clear" w:fill="FFFFFF"/>
        </w:rPr>
        <w:t>参考</w:t>
      </w:r>
      <w:bookmarkStart w:id="0" w:name="_GoBack"/>
      <w:bookmarkEnd w:id="0"/>
      <w:r>
        <w:rPr>
          <w:rFonts w:hint="eastAsia" w:ascii="仿宋" w:hAnsi="仿宋" w:eastAsia="仿宋" w:cs="仿宋"/>
          <w:i w:val="0"/>
          <w:iCs w:val="0"/>
          <w:caps w:val="0"/>
          <w:color w:val="auto"/>
          <w:spacing w:val="0"/>
          <w:sz w:val="32"/>
          <w:szCs w:val="32"/>
          <w:shd w:val="clear" w:fill="FFFFFF"/>
        </w:rPr>
        <w:t>周边县市做法，</w:t>
      </w:r>
      <w:r>
        <w:rPr>
          <w:rFonts w:hint="eastAsia" w:ascii="仿宋" w:hAnsi="仿宋" w:eastAsia="仿宋" w:cs="仿宋"/>
          <w:color w:val="auto"/>
          <w:sz w:val="32"/>
          <w:szCs w:val="32"/>
        </w:rPr>
        <w:t>结合我市实际，特制定调整</w:t>
      </w:r>
      <w:r>
        <w:rPr>
          <w:rFonts w:hint="eastAsia" w:ascii="仿宋" w:hAnsi="仿宋" w:eastAsia="仿宋" w:cs="仿宋"/>
          <w:color w:val="auto"/>
          <w:sz w:val="32"/>
          <w:szCs w:val="32"/>
          <w:lang w:eastAsia="zh-CN"/>
        </w:rPr>
        <w:t>龙南</w:t>
      </w:r>
      <w:r>
        <w:rPr>
          <w:rFonts w:hint="eastAsia" w:ascii="仿宋" w:hAnsi="仿宋" w:eastAsia="仿宋" w:cs="仿宋"/>
          <w:color w:val="auto"/>
          <w:sz w:val="32"/>
          <w:szCs w:val="32"/>
        </w:rPr>
        <w:t>市公办幼儿园保教费收费标准方案。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rPr>
      </w:pPr>
      <w:r>
        <w:rPr>
          <w:rStyle w:val="5"/>
          <w:rFonts w:hint="eastAsia" w:ascii="仿宋" w:hAnsi="仿宋" w:eastAsia="黑体" w:cs="仿宋"/>
          <w:b w:val="0"/>
          <w:bCs w:val="0"/>
          <w:color w:val="auto"/>
          <w:sz w:val="32"/>
          <w:szCs w:val="32"/>
        </w:rPr>
        <w:t>一</w:t>
      </w:r>
      <w:r>
        <w:rPr>
          <w:rStyle w:val="5"/>
          <w:rFonts w:hint="eastAsia" w:ascii="仿宋" w:hAnsi="仿宋" w:eastAsia="黑体" w:cs="仿宋"/>
          <w:b w:val="0"/>
          <w:bCs w:val="0"/>
          <w:color w:val="auto"/>
          <w:sz w:val="32"/>
          <w:szCs w:val="32"/>
          <w:lang w:eastAsia="zh-CN"/>
        </w:rPr>
        <w:t>、龙南市公办</w:t>
      </w:r>
      <w:r>
        <w:rPr>
          <w:rFonts w:hint="eastAsia" w:ascii="仿宋" w:hAnsi="仿宋" w:eastAsia="黑体" w:cs="仿宋"/>
          <w:b w:val="0"/>
          <w:bCs w:val="0"/>
          <w:i w:val="0"/>
          <w:iCs w:val="0"/>
          <w:caps w:val="0"/>
          <w:color w:val="auto"/>
          <w:spacing w:val="0"/>
          <w:sz w:val="32"/>
          <w:szCs w:val="32"/>
          <w:shd w:val="clear" w:fill="FFFFFF"/>
        </w:rPr>
        <w:t>幼儿园</w:t>
      </w:r>
      <w:r>
        <w:rPr>
          <w:rStyle w:val="5"/>
          <w:rFonts w:hint="eastAsia" w:ascii="仿宋" w:hAnsi="仿宋" w:eastAsia="黑体" w:cs="仿宋"/>
          <w:b w:val="0"/>
          <w:bCs w:val="0"/>
          <w:color w:val="auto"/>
          <w:sz w:val="32"/>
          <w:szCs w:val="32"/>
        </w:rPr>
        <w:t>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全市</w:t>
      </w:r>
      <w:r>
        <w:rPr>
          <w:rFonts w:hint="eastAsia" w:ascii="仿宋" w:hAnsi="仿宋" w:eastAsia="仿宋" w:cs="仿宋"/>
          <w:color w:val="auto"/>
          <w:sz w:val="32"/>
          <w:szCs w:val="32"/>
        </w:rPr>
        <w:t>共有幼儿园</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所，其中公办</w:t>
      </w: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所、民办</w:t>
      </w:r>
      <w:r>
        <w:rPr>
          <w:rFonts w:hint="eastAsia" w:ascii="仿宋" w:hAnsi="仿宋" w:eastAsia="仿宋" w:cs="仿宋"/>
          <w:color w:val="auto"/>
          <w:sz w:val="32"/>
          <w:szCs w:val="32"/>
          <w:lang w:val="en-US" w:eastAsia="zh-CN"/>
        </w:rPr>
        <w:t>61</w:t>
      </w:r>
      <w:r>
        <w:rPr>
          <w:rFonts w:hint="eastAsia" w:ascii="仿宋" w:hAnsi="仿宋" w:eastAsia="仿宋" w:cs="仿宋"/>
          <w:color w:val="auto"/>
          <w:sz w:val="32"/>
          <w:szCs w:val="32"/>
        </w:rPr>
        <w:t>所。公办幼儿园：省级示范幼儿园</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所，市级示范幼儿园</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所</w:t>
      </w:r>
      <w:r>
        <w:rPr>
          <w:rFonts w:hint="eastAsia" w:ascii="仿宋" w:hAnsi="仿宋" w:eastAsia="仿宋" w:cs="仿宋"/>
          <w:color w:val="auto"/>
          <w:sz w:val="32"/>
          <w:szCs w:val="32"/>
          <w:lang w:val="en-US" w:eastAsia="zh-CN"/>
        </w:rPr>
        <w:t>,城区普通</w:t>
      </w:r>
      <w:r>
        <w:rPr>
          <w:rFonts w:hint="eastAsia" w:ascii="仿宋" w:hAnsi="仿宋" w:eastAsia="仿宋" w:cs="仿宋"/>
          <w:color w:val="auto"/>
          <w:sz w:val="32"/>
          <w:szCs w:val="32"/>
        </w:rPr>
        <w:t>幼儿园</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所</w:t>
      </w:r>
      <w:r>
        <w:rPr>
          <w:rFonts w:hint="eastAsia" w:ascii="仿宋" w:hAnsi="仿宋" w:eastAsia="仿宋" w:cs="仿宋"/>
          <w:color w:val="auto"/>
          <w:sz w:val="32"/>
          <w:szCs w:val="32"/>
          <w:lang w:val="en-US" w:eastAsia="zh-CN"/>
        </w:rPr>
        <w:t>,镇乡级</w:t>
      </w:r>
      <w:r>
        <w:rPr>
          <w:rFonts w:hint="eastAsia" w:ascii="仿宋" w:hAnsi="仿宋" w:eastAsia="仿宋" w:cs="仿宋"/>
          <w:color w:val="auto"/>
          <w:sz w:val="32"/>
          <w:szCs w:val="32"/>
        </w:rPr>
        <w:t>幼儿园</w:t>
      </w:r>
      <w:r>
        <w:rPr>
          <w:rFonts w:hint="eastAsia" w:ascii="仿宋" w:hAnsi="仿宋" w:eastAsia="仿宋" w:cs="仿宋"/>
          <w:color w:val="auto"/>
          <w:sz w:val="32"/>
          <w:szCs w:val="32"/>
          <w:lang w:val="en-US" w:eastAsia="zh-CN"/>
        </w:rPr>
        <w:t>24所</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市区</w:t>
      </w:r>
      <w:r>
        <w:rPr>
          <w:rFonts w:hint="eastAsia" w:ascii="仿宋" w:hAnsi="仿宋" w:eastAsia="仿宋" w:cs="仿宋"/>
          <w:color w:val="auto"/>
          <w:sz w:val="32"/>
          <w:szCs w:val="32"/>
        </w:rPr>
        <w:t>幼儿园202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年度教师</w:t>
      </w:r>
      <w:r>
        <w:rPr>
          <w:rFonts w:hint="eastAsia" w:ascii="仿宋" w:hAnsi="仿宋" w:eastAsia="仿宋" w:cs="仿宋"/>
          <w:color w:val="auto"/>
          <w:sz w:val="32"/>
          <w:szCs w:val="32"/>
          <w:lang w:val="en-US" w:eastAsia="zh-CN"/>
        </w:rPr>
        <w:t>251</w:t>
      </w:r>
      <w:r>
        <w:rPr>
          <w:rFonts w:hint="eastAsia" w:ascii="仿宋" w:hAnsi="仿宋" w:eastAsia="仿宋" w:cs="仿宋"/>
          <w:color w:val="auto"/>
          <w:sz w:val="32"/>
          <w:szCs w:val="32"/>
        </w:rPr>
        <w:t>人（含招聘人员</w:t>
      </w:r>
      <w:r>
        <w:rPr>
          <w:rFonts w:hint="eastAsia" w:ascii="仿宋" w:hAnsi="仿宋" w:eastAsia="仿宋" w:cs="仿宋"/>
          <w:color w:val="auto"/>
          <w:sz w:val="32"/>
          <w:szCs w:val="32"/>
          <w:lang w:val="en-US" w:eastAsia="zh-CN"/>
        </w:rPr>
        <w:t>134</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镇乡级</w:t>
      </w:r>
      <w:r>
        <w:rPr>
          <w:rFonts w:hint="eastAsia" w:ascii="仿宋" w:hAnsi="仿宋" w:eastAsia="仿宋" w:cs="仿宋"/>
          <w:color w:val="auto"/>
          <w:sz w:val="32"/>
          <w:szCs w:val="32"/>
        </w:rPr>
        <w:t>幼儿园202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年度有教师</w:t>
      </w:r>
      <w:r>
        <w:rPr>
          <w:rFonts w:hint="eastAsia" w:ascii="仿宋" w:hAnsi="仿宋" w:eastAsia="仿宋" w:cs="仿宋"/>
          <w:color w:val="auto"/>
          <w:sz w:val="32"/>
          <w:szCs w:val="32"/>
          <w:lang w:val="en-US" w:eastAsia="zh-CN"/>
        </w:rPr>
        <w:t>271</w:t>
      </w:r>
      <w:r>
        <w:rPr>
          <w:rFonts w:hint="eastAsia" w:ascii="仿宋" w:hAnsi="仿宋" w:eastAsia="仿宋" w:cs="仿宋"/>
          <w:color w:val="auto"/>
          <w:sz w:val="32"/>
          <w:szCs w:val="32"/>
        </w:rPr>
        <w:t>人（含招聘人员</w:t>
      </w:r>
      <w:r>
        <w:rPr>
          <w:rFonts w:hint="eastAsia" w:ascii="仿宋" w:hAnsi="仿宋" w:eastAsia="仿宋" w:cs="仿宋"/>
          <w:color w:val="auto"/>
          <w:sz w:val="32"/>
          <w:szCs w:val="32"/>
          <w:lang w:val="en-US" w:eastAsia="zh-CN"/>
        </w:rPr>
        <w:t>65</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2021年</w:t>
      </w:r>
      <w:r>
        <w:rPr>
          <w:rFonts w:hint="eastAsia" w:ascii="仿宋" w:hAnsi="仿宋" w:eastAsia="仿宋" w:cs="仿宋"/>
          <w:color w:val="auto"/>
          <w:sz w:val="32"/>
          <w:szCs w:val="32"/>
        </w:rPr>
        <w:t>公办园在园幼儿人数</w:t>
      </w:r>
      <w:r>
        <w:rPr>
          <w:rFonts w:hint="eastAsia" w:ascii="仿宋" w:hAnsi="仿宋" w:eastAsia="仿宋" w:cs="仿宋"/>
          <w:color w:val="auto"/>
          <w:sz w:val="32"/>
          <w:szCs w:val="32"/>
          <w:lang w:val="en-US" w:eastAsia="zh-CN"/>
        </w:rPr>
        <w:t>6437</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公办园占比</w:t>
      </w:r>
      <w:r>
        <w:rPr>
          <w:rFonts w:hint="eastAsia" w:ascii="仿宋" w:hAnsi="仿宋" w:eastAsia="仿宋" w:cs="仿宋"/>
          <w:color w:val="auto"/>
          <w:sz w:val="32"/>
          <w:szCs w:val="32"/>
        </w:rPr>
        <w:t>为</w:t>
      </w:r>
      <w:r>
        <w:rPr>
          <w:rFonts w:hint="eastAsia" w:ascii="仿宋" w:hAnsi="仿宋" w:eastAsia="仿宋" w:cs="仿宋"/>
          <w:color w:val="auto"/>
          <w:sz w:val="32"/>
          <w:szCs w:val="32"/>
          <w:lang w:val="en-US" w:eastAsia="zh-CN"/>
        </w:rPr>
        <w:t>55.15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（城区</w:t>
      </w:r>
      <w:r>
        <w:rPr>
          <w:rFonts w:hint="eastAsia" w:ascii="仿宋" w:hAnsi="仿宋" w:eastAsia="仿宋" w:cs="仿宋"/>
          <w:color w:val="auto"/>
          <w:sz w:val="32"/>
          <w:szCs w:val="32"/>
          <w:lang w:val="en-US" w:eastAsia="zh-CN"/>
        </w:rPr>
        <w:t>29.48%，</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lang w:val="en-US" w:eastAsia="zh-CN"/>
        </w:rPr>
        <w:t>25.67%</w:t>
      </w:r>
      <w:r>
        <w:rPr>
          <w:rFonts w:hint="eastAsia" w:ascii="仿宋" w:hAnsi="仿宋" w:eastAsia="仿宋" w:cs="仿宋"/>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5"/>
          <w:rFonts w:hint="eastAsia" w:ascii="仿宋" w:hAnsi="仿宋" w:eastAsia="黑体" w:cs="仿宋"/>
          <w:b w:val="0"/>
          <w:bCs w:val="0"/>
          <w:color w:val="auto"/>
          <w:sz w:val="32"/>
          <w:szCs w:val="32"/>
        </w:rPr>
      </w:pPr>
      <w:r>
        <w:rPr>
          <w:rStyle w:val="5"/>
          <w:rFonts w:hint="eastAsia" w:ascii="仿宋" w:hAnsi="仿宋" w:eastAsia="黑体" w:cs="仿宋"/>
          <w:b w:val="0"/>
          <w:bCs w:val="0"/>
          <w:color w:val="auto"/>
          <w:sz w:val="32"/>
          <w:szCs w:val="32"/>
        </w:rPr>
        <w:t>二、调整保教费的目标、原因和遵循原则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shd w:val="clear" w:fill="FFFFFF"/>
        </w:rPr>
        <w:t>（一）调整的目标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学前教育是国民教育体系的重要组成部分，是终身教育的开端，对人的全面和谐发展具有重要意义。随着社会经济的发展，城镇化进程的加快以及适龄人口的变化，民众对优质学前教育资源的需求不断增强。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适当调整龙南市公办幼儿园的保教费，基本达到家庭承担幼儿园正常运转所必需的保教成本，保障公办幼儿园正常运转和质量提升，使幼儿享受有质量的幼儿教育服务，满足民众对幼有所育的美好期盼。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（二）调整的原因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是保教成本增加。我市公办幼儿园收费政策是2013年制定实施的，收费政策对规范幼儿园收费行为，促进我市学前教育发展发挥了积极作用。但随着我市经济的发展，人工成本、物价水平已发生了较大变化，幼儿园办园成本不断增加，执行</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年来一直未做调整的收费标准已明显偏低。随着经济社会的发展和生活水平的提高，群众对高质量教育的需求愈加迫切，对学前教育普及普惠安全优质发展有了更高要求，公办幼儿园为了适应家长对优质学前教育资源的需求导致保教成本不断上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是合理分担学前教育成本的需要。学前教育为非义务教育，根据非义务教育家庭合理分担教育成本的原则，家庭承担幼儿园正常运转所必需的保教成本。适当调整幼儿园的保教费，有利于保障幼儿园的正常运转和质量提升，适应民众对优质学前教育的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（三）遵循的原则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遵循“幼儿园能够运行，老百姓能够承受，财政能够承担，幼儿入园有保证，学前教育有质量”的原则，根据生均保教成本，按照非义务教育阶段保教成本家庭合理分担的原则，综合考虑我市城镇人口、农村人口可支配收入和公办幼儿园办学水平等因素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5"/>
          <w:rFonts w:hint="eastAsia" w:ascii="仿宋" w:hAnsi="仿宋" w:eastAsia="黑体" w:cs="仿宋"/>
          <w:b w:val="0"/>
          <w:bCs w:val="0"/>
          <w:color w:val="auto"/>
          <w:sz w:val="32"/>
          <w:szCs w:val="32"/>
        </w:rPr>
      </w:pPr>
      <w:r>
        <w:rPr>
          <w:rStyle w:val="5"/>
          <w:rFonts w:hint="eastAsia" w:ascii="仿宋" w:hAnsi="仿宋" w:eastAsia="黑体" w:cs="仿宋"/>
          <w:b w:val="0"/>
          <w:bCs w:val="0"/>
          <w:color w:val="auto"/>
          <w:sz w:val="32"/>
          <w:szCs w:val="32"/>
        </w:rPr>
        <w:t>三、制定保教费的政策依据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《中华人民共和国价格法》；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《中华人民共和国教育法》；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《国务院关于当前发展学前教育的若干意见》（国发〔2010〕41号）；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《政府制定价格听证办法》（国家发展改革委21号令）；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《江西省幼儿园保教费收费标准及管理的意见》（赣发改收费字〔2013〕705号）</w:t>
      </w:r>
      <w:r>
        <w:rPr>
          <w:rFonts w:hint="eastAsia" w:ascii="仿宋" w:hAnsi="仿宋" w:eastAsia="仿宋" w:cs="仿宋"/>
          <w:color w:val="auto"/>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江西省发改委关于印发《江西省定价目录》的通知（赣发改价调[2018]310号）。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5"/>
          <w:rFonts w:hint="eastAsia" w:ascii="仿宋" w:hAnsi="仿宋" w:eastAsia="黑体" w:cs="仿宋"/>
          <w:b w:val="0"/>
          <w:bCs w:val="0"/>
          <w:color w:val="auto"/>
          <w:sz w:val="32"/>
          <w:szCs w:val="32"/>
        </w:rPr>
      </w:pPr>
      <w:r>
        <w:rPr>
          <w:rStyle w:val="5"/>
          <w:rFonts w:hint="eastAsia" w:ascii="仿宋" w:hAnsi="仿宋" w:eastAsia="黑体" w:cs="仿宋"/>
          <w:b w:val="0"/>
          <w:bCs w:val="0"/>
          <w:color w:val="auto"/>
          <w:sz w:val="32"/>
          <w:szCs w:val="32"/>
        </w:rPr>
        <w:t>四、听证项目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龙南市公办幼儿园保教费标准调整。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5"/>
          <w:rFonts w:hint="eastAsia" w:ascii="仿宋" w:hAnsi="仿宋" w:eastAsia="黑体" w:cs="仿宋"/>
          <w:b w:val="0"/>
          <w:bCs w:val="0"/>
          <w:color w:val="auto"/>
          <w:sz w:val="32"/>
          <w:szCs w:val="32"/>
        </w:rPr>
      </w:pPr>
      <w:r>
        <w:rPr>
          <w:rStyle w:val="5"/>
          <w:rFonts w:hint="eastAsia" w:ascii="仿宋" w:hAnsi="仿宋" w:eastAsia="黑体" w:cs="仿宋"/>
          <w:b w:val="0"/>
          <w:bCs w:val="0"/>
          <w:color w:val="auto"/>
          <w:sz w:val="32"/>
          <w:szCs w:val="32"/>
        </w:rPr>
        <w:t>五、保教费定价成本监审结论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依据龙南市发改委《龙南市公办幼儿园保教费定价成本监审报告》，</w:t>
      </w:r>
      <w:r>
        <w:rPr>
          <w:rFonts w:hint="eastAsia" w:ascii="仿宋" w:hAnsi="仿宋" w:eastAsia="仿宋" w:cs="仿宋"/>
          <w:color w:val="auto"/>
          <w:sz w:val="32"/>
          <w:szCs w:val="32"/>
          <w:lang w:val="en-US" w:eastAsia="zh-CN"/>
        </w:rPr>
        <w:t>省级示范幼儿园保育教育成本为3820.27</w:t>
      </w:r>
      <w:r>
        <w:rPr>
          <w:rFonts w:hint="eastAsia" w:ascii="仿宋" w:hAnsi="仿宋" w:eastAsia="仿宋" w:cs="仿宋"/>
          <w:color w:val="auto"/>
          <w:sz w:val="32"/>
          <w:szCs w:val="32"/>
          <w:lang w:eastAsia="zh-CN"/>
        </w:rPr>
        <w:t>元/年.生，市</w:t>
      </w:r>
      <w:r>
        <w:rPr>
          <w:rFonts w:hint="eastAsia" w:ascii="仿宋" w:hAnsi="仿宋" w:eastAsia="仿宋" w:cs="仿宋"/>
          <w:color w:val="auto"/>
          <w:sz w:val="32"/>
          <w:szCs w:val="32"/>
          <w:lang w:val="en-US" w:eastAsia="zh-CN"/>
        </w:rPr>
        <w:t>级示范幼儿园平均保育教育成本为2839.57</w:t>
      </w:r>
      <w:r>
        <w:rPr>
          <w:rFonts w:hint="eastAsia" w:ascii="仿宋" w:hAnsi="仿宋" w:eastAsia="仿宋" w:cs="仿宋"/>
          <w:color w:val="auto"/>
          <w:sz w:val="32"/>
          <w:szCs w:val="32"/>
          <w:lang w:eastAsia="zh-CN"/>
        </w:rPr>
        <w:t>元/年.生，</w:t>
      </w:r>
      <w:r>
        <w:rPr>
          <w:rFonts w:hint="eastAsia" w:ascii="仿宋" w:hAnsi="仿宋" w:eastAsia="仿宋" w:cs="仿宋"/>
          <w:color w:val="auto"/>
          <w:sz w:val="32"/>
          <w:szCs w:val="32"/>
          <w:lang w:val="en-US" w:eastAsia="zh-CN"/>
        </w:rPr>
        <w:t>城区普通幼儿园保育教育成本为2561.46</w:t>
      </w:r>
      <w:r>
        <w:rPr>
          <w:rFonts w:hint="eastAsia" w:ascii="仿宋" w:hAnsi="仿宋" w:eastAsia="仿宋" w:cs="仿宋"/>
          <w:color w:val="auto"/>
          <w:sz w:val="32"/>
          <w:szCs w:val="32"/>
          <w:lang w:eastAsia="zh-CN"/>
        </w:rPr>
        <w:t>元/年.生，乡镇</w:t>
      </w:r>
      <w:r>
        <w:rPr>
          <w:rFonts w:hint="eastAsia" w:ascii="仿宋" w:hAnsi="仿宋" w:eastAsia="仿宋" w:cs="仿宋"/>
          <w:color w:val="auto"/>
          <w:sz w:val="32"/>
          <w:szCs w:val="32"/>
          <w:lang w:val="en-US" w:eastAsia="zh-CN"/>
        </w:rPr>
        <w:t>普通中心幼儿园平均保育教育成本为1848.90</w:t>
      </w:r>
      <w:r>
        <w:rPr>
          <w:rFonts w:hint="eastAsia" w:ascii="仿宋" w:hAnsi="仿宋" w:eastAsia="仿宋" w:cs="仿宋"/>
          <w:color w:val="auto"/>
          <w:sz w:val="32"/>
          <w:szCs w:val="32"/>
          <w:lang w:eastAsia="zh-CN"/>
        </w:rPr>
        <w:t>元/年.生。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5"/>
          <w:rFonts w:hint="eastAsia" w:ascii="仿宋" w:hAnsi="仿宋" w:eastAsia="黑体" w:cs="仿宋"/>
          <w:b w:val="0"/>
          <w:bCs w:val="0"/>
          <w:color w:val="auto"/>
          <w:sz w:val="32"/>
          <w:szCs w:val="32"/>
        </w:rPr>
      </w:pPr>
      <w:r>
        <w:rPr>
          <w:rStyle w:val="5"/>
          <w:rFonts w:hint="eastAsia" w:ascii="仿宋" w:hAnsi="仿宋" w:eastAsia="黑体" w:cs="仿宋"/>
          <w:b w:val="0"/>
          <w:bCs w:val="0"/>
          <w:color w:val="auto"/>
          <w:sz w:val="32"/>
          <w:szCs w:val="32"/>
          <w:lang w:eastAsia="zh-CN"/>
        </w:rPr>
        <w:t>六</w:t>
      </w:r>
      <w:r>
        <w:rPr>
          <w:rStyle w:val="5"/>
          <w:rFonts w:hint="eastAsia" w:ascii="仿宋" w:hAnsi="仿宋" w:eastAsia="黑体" w:cs="仿宋"/>
          <w:b w:val="0"/>
          <w:bCs w:val="0"/>
          <w:color w:val="auto"/>
          <w:sz w:val="32"/>
          <w:szCs w:val="32"/>
        </w:rPr>
        <w:t>、拟调整保教费标准方案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（一）收费范围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全市公办幼儿园。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（二）收费标准方案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1城区公办幼儿园：省级示范幼儿园由300元/月/生拟调整为</w:t>
      </w:r>
      <w:r>
        <w:rPr>
          <w:rFonts w:hint="eastAsia" w:ascii="仿宋" w:hAnsi="仿宋" w:eastAsia="仿宋" w:cs="仿宋"/>
          <w:color w:val="auto"/>
          <w:sz w:val="32"/>
          <w:szCs w:val="32"/>
          <w:lang w:val="en-US" w:eastAsia="zh-CN"/>
        </w:rPr>
        <w:t>380</w:t>
      </w:r>
      <w:r>
        <w:rPr>
          <w:rFonts w:hint="eastAsia" w:ascii="仿宋" w:hAnsi="仿宋" w:eastAsia="仿宋" w:cs="仿宋"/>
          <w:color w:val="auto"/>
          <w:sz w:val="32"/>
          <w:szCs w:val="32"/>
          <w:lang w:eastAsia="zh-CN"/>
        </w:rPr>
        <w:t>元/月/生，调整幅度</w:t>
      </w:r>
      <w:r>
        <w:rPr>
          <w:rFonts w:hint="eastAsia" w:ascii="仿宋" w:hAnsi="仿宋" w:eastAsia="仿宋" w:cs="仿宋"/>
          <w:color w:val="auto"/>
          <w:sz w:val="32"/>
          <w:szCs w:val="32"/>
          <w:lang w:val="en-US" w:eastAsia="zh-CN"/>
        </w:rPr>
        <w:t>26.6%；</w:t>
      </w:r>
      <w:r>
        <w:rPr>
          <w:rFonts w:hint="eastAsia" w:ascii="仿宋" w:hAnsi="仿宋" w:eastAsia="仿宋" w:cs="仿宋"/>
          <w:color w:val="auto"/>
          <w:sz w:val="32"/>
          <w:szCs w:val="32"/>
          <w:lang w:eastAsia="zh-CN"/>
        </w:rPr>
        <w:t>市级示范幼儿园由200元/月/生拟调整为</w:t>
      </w:r>
      <w:r>
        <w:rPr>
          <w:rFonts w:hint="eastAsia" w:ascii="仿宋" w:hAnsi="仿宋" w:eastAsia="仿宋" w:cs="仿宋"/>
          <w:color w:val="auto"/>
          <w:sz w:val="32"/>
          <w:szCs w:val="32"/>
          <w:lang w:val="en-US" w:eastAsia="zh-CN"/>
        </w:rPr>
        <w:t>280</w:t>
      </w:r>
      <w:r>
        <w:rPr>
          <w:rFonts w:hint="eastAsia" w:ascii="仿宋" w:hAnsi="仿宋" w:eastAsia="仿宋" w:cs="仿宋"/>
          <w:color w:val="auto"/>
          <w:sz w:val="32"/>
          <w:szCs w:val="32"/>
          <w:lang w:eastAsia="zh-CN"/>
        </w:rPr>
        <w:t>元/月/生，调整幅度</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lang w:eastAsia="zh-CN"/>
        </w:rPr>
        <w:t>普通幼儿园由150元/月/生拟调整为2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0元/月/生，调整幅度</w:t>
      </w:r>
      <w:r>
        <w:rPr>
          <w:rFonts w:hint="eastAsia" w:ascii="仿宋" w:hAnsi="仿宋" w:eastAsia="仿宋" w:cs="仿宋"/>
          <w:color w:val="auto"/>
          <w:sz w:val="32"/>
          <w:szCs w:val="32"/>
          <w:lang w:val="en-US" w:eastAsia="zh-CN"/>
        </w:rPr>
        <w:t>66.6%。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2乡镇农村公办幼儿园：乡镇中心幼儿园由120元/月/生拟调整为</w:t>
      </w:r>
      <w:r>
        <w:rPr>
          <w:rFonts w:hint="eastAsia" w:ascii="仿宋" w:hAnsi="仿宋" w:eastAsia="仿宋" w:cs="仿宋"/>
          <w:color w:val="auto"/>
          <w:sz w:val="32"/>
          <w:szCs w:val="32"/>
          <w:lang w:val="en-US" w:eastAsia="zh-CN"/>
        </w:rPr>
        <w:t>180</w:t>
      </w:r>
      <w:r>
        <w:rPr>
          <w:rFonts w:hint="eastAsia" w:ascii="仿宋" w:hAnsi="仿宋" w:eastAsia="仿宋" w:cs="仿宋"/>
          <w:color w:val="auto"/>
          <w:sz w:val="32"/>
          <w:szCs w:val="32"/>
          <w:lang w:eastAsia="zh-CN"/>
        </w:rPr>
        <w:t>元/月/生，调整幅度</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lang w:eastAsia="zh-CN"/>
        </w:rPr>
        <w:t>乡镇以下幼儿园由100元/月/生拟调整为</w:t>
      </w:r>
      <w:r>
        <w:rPr>
          <w:rFonts w:hint="eastAsia" w:ascii="仿宋" w:hAnsi="仿宋" w:eastAsia="仿宋" w:cs="仿宋"/>
          <w:color w:val="auto"/>
          <w:sz w:val="32"/>
          <w:szCs w:val="32"/>
          <w:lang w:val="en-US" w:eastAsia="zh-CN"/>
        </w:rPr>
        <w:t>160</w:t>
      </w:r>
      <w:r>
        <w:rPr>
          <w:rFonts w:hint="eastAsia" w:ascii="仿宋" w:hAnsi="仿宋" w:eastAsia="仿宋" w:cs="仿宋"/>
          <w:color w:val="auto"/>
          <w:sz w:val="32"/>
          <w:szCs w:val="32"/>
          <w:lang w:eastAsia="zh-CN"/>
        </w:rPr>
        <w:t>元/月/生，调整幅度</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5"/>
          <w:rFonts w:hint="eastAsia" w:ascii="仿宋" w:hAnsi="仿宋" w:eastAsia="黑体" w:cs="仿宋"/>
          <w:b w:val="0"/>
          <w:bCs w:val="0"/>
          <w:color w:val="auto"/>
          <w:sz w:val="32"/>
          <w:szCs w:val="32"/>
        </w:rPr>
      </w:pPr>
      <w:r>
        <w:rPr>
          <w:rStyle w:val="5"/>
          <w:rFonts w:hint="eastAsia" w:ascii="仿宋" w:hAnsi="仿宋" w:eastAsia="黑体" w:cs="仿宋"/>
          <w:b w:val="0"/>
          <w:bCs w:val="0"/>
          <w:color w:val="auto"/>
          <w:sz w:val="32"/>
          <w:szCs w:val="32"/>
          <w:lang w:eastAsia="zh-CN"/>
        </w:rPr>
        <w:t>七</w:t>
      </w:r>
      <w:r>
        <w:rPr>
          <w:rStyle w:val="5"/>
          <w:rFonts w:hint="eastAsia" w:ascii="仿宋" w:hAnsi="仿宋" w:eastAsia="黑体" w:cs="仿宋"/>
          <w:b w:val="0"/>
          <w:bCs w:val="0"/>
          <w:color w:val="auto"/>
          <w:sz w:val="32"/>
          <w:szCs w:val="32"/>
        </w:rPr>
        <w:t>、影响分析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（一）拟调整保教费的可增收金额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按照拟定的调整保教费标准，参考龙南市公办幼儿园202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年幼儿入园人数</w:t>
      </w:r>
      <w:r>
        <w:rPr>
          <w:rFonts w:hint="eastAsia" w:ascii="仿宋" w:hAnsi="仿宋" w:eastAsia="仿宋" w:cs="仿宋"/>
          <w:color w:val="auto"/>
          <w:sz w:val="32"/>
          <w:szCs w:val="32"/>
          <w:lang w:val="en-US" w:eastAsia="zh-CN"/>
        </w:rPr>
        <w:t>6437</w:t>
      </w:r>
      <w:r>
        <w:rPr>
          <w:rFonts w:hint="eastAsia" w:ascii="仿宋" w:hAnsi="仿宋" w:eastAsia="仿宋" w:cs="仿宋"/>
          <w:color w:val="auto"/>
          <w:sz w:val="32"/>
          <w:szCs w:val="32"/>
          <w:lang w:eastAsia="zh-CN"/>
        </w:rPr>
        <w:t>人，按照上下两个学期共9个月教育时间和每生每月提高平均</w:t>
      </w:r>
      <w:r>
        <w:rPr>
          <w:rFonts w:hint="eastAsia" w:ascii="仿宋" w:hAnsi="仿宋" w:eastAsia="仿宋" w:cs="仿宋"/>
          <w:color w:val="auto"/>
          <w:sz w:val="32"/>
          <w:szCs w:val="32"/>
          <w:lang w:val="en-US" w:eastAsia="zh-CN"/>
        </w:rPr>
        <w:t>76</w:t>
      </w:r>
      <w:r>
        <w:rPr>
          <w:rFonts w:hint="eastAsia" w:ascii="仿宋" w:hAnsi="仿宋" w:eastAsia="仿宋" w:cs="仿宋"/>
          <w:color w:val="auto"/>
          <w:sz w:val="32"/>
          <w:szCs w:val="32"/>
          <w:lang w:eastAsia="zh-CN"/>
        </w:rPr>
        <w:t>元的标准计算，预计全年保教费可在原标准上增收</w:t>
      </w:r>
      <w:r>
        <w:rPr>
          <w:rFonts w:hint="eastAsia" w:ascii="仿宋" w:hAnsi="仿宋" w:eastAsia="仿宋" w:cs="仿宋"/>
          <w:color w:val="auto"/>
          <w:sz w:val="32"/>
          <w:szCs w:val="32"/>
          <w:lang w:val="en-US" w:eastAsia="zh-CN"/>
        </w:rPr>
        <w:t>4402908</w:t>
      </w:r>
      <w:r>
        <w:rPr>
          <w:rFonts w:hint="eastAsia" w:ascii="仿宋" w:hAnsi="仿宋" w:eastAsia="仿宋" w:cs="仿宋"/>
          <w:color w:val="auto"/>
          <w:sz w:val="32"/>
          <w:szCs w:val="32"/>
          <w:lang w:eastAsia="zh-CN"/>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（二）对幼儿家长的影响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基于保教费收费标准的调整预期会给幼儿家长增加一定的支出负担：一是20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年我市在岗职工年平均工资收入为</w:t>
      </w:r>
      <w:r>
        <w:rPr>
          <w:rFonts w:hint="eastAsia" w:ascii="仿宋" w:hAnsi="仿宋" w:eastAsia="仿宋" w:cs="仿宋"/>
          <w:color w:val="auto"/>
          <w:sz w:val="32"/>
          <w:szCs w:val="32"/>
          <w:lang w:val="en-US" w:eastAsia="zh-CN"/>
        </w:rPr>
        <w:t>60121</w:t>
      </w:r>
      <w:r>
        <w:rPr>
          <w:rFonts w:hint="eastAsia" w:ascii="仿宋" w:hAnsi="仿宋" w:eastAsia="仿宋" w:cs="仿宋"/>
          <w:color w:val="auto"/>
          <w:sz w:val="32"/>
          <w:szCs w:val="32"/>
          <w:lang w:eastAsia="zh-CN"/>
        </w:rPr>
        <w:t>.00元；二是202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年我市城镇居民人均可支配收入3</w:t>
      </w:r>
      <w:r>
        <w:rPr>
          <w:rFonts w:hint="eastAsia" w:ascii="仿宋" w:hAnsi="仿宋" w:eastAsia="仿宋" w:cs="仿宋"/>
          <w:color w:val="auto"/>
          <w:sz w:val="32"/>
          <w:szCs w:val="32"/>
          <w:lang w:val="en-US" w:eastAsia="zh-CN"/>
        </w:rPr>
        <w:t>7577</w:t>
      </w:r>
      <w:r>
        <w:rPr>
          <w:rFonts w:hint="eastAsia" w:ascii="仿宋" w:hAnsi="仿宋" w:eastAsia="仿宋" w:cs="仿宋"/>
          <w:color w:val="auto"/>
          <w:sz w:val="32"/>
          <w:szCs w:val="32"/>
          <w:lang w:eastAsia="zh-CN"/>
        </w:rPr>
        <w:t>.00元；三是202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年我市农村居民人均可支配收入</w:t>
      </w:r>
      <w:r>
        <w:rPr>
          <w:rFonts w:hint="eastAsia" w:ascii="仿宋" w:hAnsi="仿宋" w:eastAsia="仿宋" w:cs="仿宋"/>
          <w:color w:val="auto"/>
          <w:sz w:val="32"/>
          <w:szCs w:val="32"/>
          <w:lang w:val="en-US" w:eastAsia="zh-CN"/>
        </w:rPr>
        <w:t>15395</w:t>
      </w:r>
      <w:r>
        <w:rPr>
          <w:rFonts w:hint="eastAsia" w:ascii="仿宋" w:hAnsi="仿宋" w:eastAsia="仿宋" w:cs="仿宋"/>
          <w:color w:val="auto"/>
          <w:sz w:val="32"/>
          <w:szCs w:val="32"/>
          <w:lang w:eastAsia="zh-CN"/>
        </w:rPr>
        <w:t>.00元。按1个家庭1个小孩上幼儿园年增支出保教费</w:t>
      </w:r>
      <w:r>
        <w:rPr>
          <w:rFonts w:hint="eastAsia" w:ascii="仿宋" w:hAnsi="仿宋" w:eastAsia="仿宋" w:cs="仿宋"/>
          <w:color w:val="auto"/>
          <w:sz w:val="32"/>
          <w:szCs w:val="32"/>
          <w:lang w:val="en-US" w:eastAsia="zh-CN"/>
        </w:rPr>
        <w:t>684</w:t>
      </w:r>
      <w:r>
        <w:rPr>
          <w:rFonts w:hint="eastAsia" w:ascii="仿宋" w:hAnsi="仿宋" w:eastAsia="仿宋" w:cs="仿宋"/>
          <w:color w:val="auto"/>
          <w:sz w:val="32"/>
          <w:szCs w:val="32"/>
          <w:lang w:eastAsia="zh-CN"/>
        </w:rPr>
        <w:t>元计算，分别占上述三种收入比例为</w:t>
      </w:r>
      <w:r>
        <w:rPr>
          <w:rFonts w:hint="eastAsia" w:ascii="仿宋" w:hAnsi="仿宋" w:eastAsia="仿宋" w:cs="仿宋"/>
          <w:color w:val="auto"/>
          <w:sz w:val="32"/>
          <w:szCs w:val="32"/>
          <w:lang w:val="en-US" w:eastAsia="zh-CN"/>
        </w:rPr>
        <w:t>1.13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1.82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4.4</w:t>
      </w:r>
      <w:r>
        <w:rPr>
          <w:rFonts w:hint="eastAsia" w:ascii="仿宋" w:hAnsi="仿宋" w:eastAsia="仿宋" w:cs="仿宋"/>
          <w:color w:val="auto"/>
          <w:sz w:val="32"/>
          <w:szCs w:val="32"/>
          <w:lang w:eastAsia="zh-CN"/>
        </w:rPr>
        <w:t>%。综合上述三种收入分析，我市公办幼儿园保教费标准调整后收费在幼儿家长经济承受能力范围以内。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（三）与周边县市相比较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我市拟定调整后的公办幼儿园收费标准，与周边县市相比较，收费标准基本处于同等水平。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auto"/>
          <w:sz w:val="32"/>
          <w:szCs w:val="32"/>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rPr>
          <w:rFonts w:hint="eastAsia" w:ascii="仿宋" w:hAnsi="仿宋" w:eastAsia="仿宋" w:cs="仿宋"/>
          <w:color w:val="auto"/>
          <w:sz w:val="32"/>
          <w:szCs w:val="32"/>
        </w:rPr>
      </w:pPr>
    </w:p>
    <w:tbl>
      <w:tblPr>
        <w:tblStyle w:val="3"/>
        <w:tblW w:w="13894" w:type="dxa"/>
        <w:tblInd w:w="0" w:type="dxa"/>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54"/>
        <w:gridCol w:w="2010"/>
        <w:gridCol w:w="1935"/>
        <w:gridCol w:w="1590"/>
        <w:gridCol w:w="1860"/>
        <w:gridCol w:w="1890"/>
        <w:gridCol w:w="2355"/>
      </w:tblGrid>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shd w:val="clear" w:color="auto" w:fill="auto"/>
          <w:tblCellMar>
            <w:top w:w="0" w:type="dxa"/>
            <w:left w:w="0" w:type="dxa"/>
            <w:bottom w:w="0" w:type="dxa"/>
            <w:right w:w="0" w:type="dxa"/>
          </w:tblCellMar>
        </w:tblPrEx>
        <w:tc>
          <w:tcPr>
            <w:tcW w:w="13894"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赣州</w:t>
            </w:r>
            <w:r>
              <w:rPr>
                <w:rFonts w:hint="eastAsia" w:ascii="仿宋" w:hAnsi="仿宋" w:eastAsia="仿宋" w:cs="仿宋"/>
                <w:b/>
                <w:bCs/>
                <w:color w:val="auto"/>
                <w:sz w:val="32"/>
                <w:szCs w:val="32"/>
              </w:rPr>
              <w:t>市部分县市公办幼儿园收费标准对照表</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rPr>
          <w:trHeight w:val="1601" w:hRule="atLeast"/>
        </w:trPr>
        <w:tc>
          <w:tcPr>
            <w:tcW w:w="2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幼儿园收费标准周边县市</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城区省级示范幼儿园</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城区市级示范幼儿园</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城区普通幼儿园</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乡镇中心幼儿园</w:t>
            </w:r>
          </w:p>
        </w:tc>
        <w:tc>
          <w:tcPr>
            <w:tcW w:w="18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乡镇以下幼儿园</w:t>
            </w:r>
          </w:p>
        </w:tc>
        <w:tc>
          <w:tcPr>
            <w:tcW w:w="2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备注</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rPr>
          <w:trHeight w:val="1246" w:hRule="atLeast"/>
        </w:trPr>
        <w:tc>
          <w:tcPr>
            <w:tcW w:w="2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赣州</w:t>
            </w:r>
            <w:r>
              <w:rPr>
                <w:rFonts w:hint="eastAsia" w:ascii="仿宋" w:hAnsi="仿宋" w:eastAsia="仿宋" w:cs="仿宋"/>
                <w:color w:val="auto"/>
                <w:sz w:val="32"/>
                <w:szCs w:val="32"/>
              </w:rPr>
              <w:t>中心城区</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260</w:t>
            </w:r>
          </w:p>
        </w:tc>
        <w:tc>
          <w:tcPr>
            <w:tcW w:w="18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p>
        </w:tc>
        <w:tc>
          <w:tcPr>
            <w:tcW w:w="2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已批</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c>
          <w:tcPr>
            <w:tcW w:w="2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上犹县</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390</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280</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230</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160</w:t>
            </w:r>
          </w:p>
        </w:tc>
        <w:tc>
          <w:tcPr>
            <w:tcW w:w="18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130</w:t>
            </w:r>
          </w:p>
        </w:tc>
        <w:tc>
          <w:tcPr>
            <w:tcW w:w="2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已批</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c>
          <w:tcPr>
            <w:tcW w:w="2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全南</w:t>
            </w:r>
            <w:r>
              <w:rPr>
                <w:rFonts w:hint="eastAsia" w:ascii="仿宋" w:hAnsi="仿宋" w:eastAsia="仿宋" w:cs="仿宋"/>
                <w:color w:val="auto"/>
                <w:sz w:val="32"/>
                <w:szCs w:val="32"/>
              </w:rPr>
              <w:t>县</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360</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260</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210</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180</w:t>
            </w:r>
          </w:p>
        </w:tc>
        <w:tc>
          <w:tcPr>
            <w:tcW w:w="18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120</w:t>
            </w:r>
          </w:p>
        </w:tc>
        <w:tc>
          <w:tcPr>
            <w:tcW w:w="2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已批</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c>
          <w:tcPr>
            <w:tcW w:w="2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大余县</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360</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260</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210</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180</w:t>
            </w:r>
          </w:p>
        </w:tc>
        <w:tc>
          <w:tcPr>
            <w:tcW w:w="18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60</w:t>
            </w:r>
          </w:p>
        </w:tc>
        <w:tc>
          <w:tcPr>
            <w:tcW w:w="2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rPr>
              <w:t>已批</w:t>
            </w:r>
          </w:p>
        </w:tc>
      </w:tr>
      <w:tr>
        <w:tblPrEx>
          <w:tblBorders>
            <w:top w:val="single" w:color="C6C2C2" w:sz="6" w:space="0"/>
            <w:left w:val="single" w:color="C6C2C2" w:sz="6" w:space="0"/>
            <w:bottom w:val="single" w:color="C6C2C2" w:sz="6" w:space="0"/>
            <w:right w:val="single" w:color="C6C2C2" w:sz="6" w:space="0"/>
            <w:insideH w:val="none" w:color="auto" w:sz="0" w:space="0"/>
            <w:insideV w:val="none" w:color="auto" w:sz="0" w:space="0"/>
          </w:tblBorders>
          <w:tblCellMar>
            <w:top w:w="0" w:type="dxa"/>
            <w:left w:w="0" w:type="dxa"/>
            <w:bottom w:w="0" w:type="dxa"/>
            <w:right w:w="0" w:type="dxa"/>
          </w:tblCellMar>
        </w:tblPrEx>
        <w:tc>
          <w:tcPr>
            <w:tcW w:w="2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宁都</w:t>
            </w:r>
            <w:r>
              <w:rPr>
                <w:rFonts w:hint="eastAsia" w:ascii="仿宋" w:hAnsi="仿宋" w:eastAsia="仿宋" w:cs="仿宋"/>
                <w:color w:val="auto"/>
                <w:sz w:val="32"/>
                <w:szCs w:val="32"/>
              </w:rPr>
              <w:t>县</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380</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280</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80</w:t>
            </w:r>
          </w:p>
        </w:tc>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180</w:t>
            </w:r>
          </w:p>
        </w:tc>
        <w:tc>
          <w:tcPr>
            <w:tcW w:w="18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120</w:t>
            </w:r>
          </w:p>
        </w:tc>
        <w:tc>
          <w:tcPr>
            <w:tcW w:w="23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已批</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right="0" w:firstLine="640" w:firstLineChars="200"/>
        <w:jc w:val="both"/>
        <w:rPr>
          <w:rFonts w:hint="eastAsia" w:ascii="仿宋" w:hAnsi="仿宋" w:eastAsia="仿宋" w:cs="仿宋"/>
          <w:i w:val="0"/>
          <w:iCs w:val="0"/>
          <w:caps w:val="0"/>
          <w:color w:val="auto"/>
          <w:spacing w:val="0"/>
          <w:sz w:val="32"/>
          <w:szCs w:val="32"/>
          <w:shd w:val="clear" w:fill="FFFFFF"/>
        </w:rPr>
        <w:sectPr>
          <w:pgSz w:w="16838" w:h="11906" w:orient="landscape"/>
          <w:pgMar w:top="1803" w:right="1440" w:bottom="1803" w:left="1440" w:header="851" w:footer="992" w:gutter="0"/>
          <w:cols w:space="0" w:num="1"/>
          <w:rtlGutter w:val="0"/>
          <w:docGrid w:type="lines" w:linePitch="319"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Style w:val="5"/>
          <w:rFonts w:hint="eastAsia" w:ascii="仿宋" w:hAnsi="仿宋" w:eastAsia="黑体" w:cs="仿宋"/>
          <w:b w:val="0"/>
          <w:bCs w:val="0"/>
          <w:color w:val="auto"/>
          <w:sz w:val="32"/>
          <w:szCs w:val="32"/>
        </w:rPr>
      </w:pPr>
      <w:r>
        <w:rPr>
          <w:rStyle w:val="5"/>
          <w:rFonts w:hint="eastAsia" w:ascii="仿宋" w:hAnsi="仿宋" w:eastAsia="黑体" w:cs="仿宋"/>
          <w:b w:val="0"/>
          <w:bCs w:val="0"/>
          <w:color w:val="auto"/>
          <w:sz w:val="32"/>
          <w:szCs w:val="32"/>
          <w:lang w:eastAsia="zh-CN"/>
        </w:rPr>
        <w:t>八</w:t>
      </w:r>
      <w:r>
        <w:rPr>
          <w:rStyle w:val="5"/>
          <w:rFonts w:hint="eastAsia" w:ascii="仿宋" w:hAnsi="仿宋" w:eastAsia="黑体" w:cs="仿宋"/>
          <w:b w:val="0"/>
          <w:bCs w:val="0"/>
          <w:color w:val="auto"/>
          <w:sz w:val="32"/>
          <w:szCs w:val="32"/>
        </w:rPr>
        <w:t>、其他相关事项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龙南市公办幼儿园对家庭经济困难的幼儿、孤儿和残疾幼儿，按照50%的比例给予减免收取保教费。对无生活来源，无法定扶养人，社会福利机构收养的孤儿以及革命烈士或因公牺牲军人子女的保教费给予全免。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龙南市公办幼儿园要严格执行教育收费公示制度。公办幼儿园应在醒目的位置设立公示栏(公示牌)，向社会公示收费项目、收费标准等相关内容，未经公示，不得收费。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龙南市公办幼儿园保教费标准调整后自202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年秋季开学起执行，并且实行收支两条线管理，如上级有新政策出台，按新政策执行。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相关未尽事宜，按照《江西省幼儿园保教费收费标准及管理的意见》2013年705号文件执行。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龙南市发展和改革委员会</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龙南市教育体育科技局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firstLine="2880" w:firstLineChars="9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lang w:eastAsia="zh-CN"/>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BG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ODZiZGRmNDM4YTEyYjU1ZThhMzUxZjZmMzRjZjkifQ=="/>
  </w:docVars>
  <w:rsids>
    <w:rsidRoot w:val="50582653"/>
    <w:rsid w:val="001B4752"/>
    <w:rsid w:val="010F1571"/>
    <w:rsid w:val="01FB5975"/>
    <w:rsid w:val="023A1985"/>
    <w:rsid w:val="032E4E21"/>
    <w:rsid w:val="043967C8"/>
    <w:rsid w:val="059705B7"/>
    <w:rsid w:val="06A04BBF"/>
    <w:rsid w:val="06B70F10"/>
    <w:rsid w:val="07490ACB"/>
    <w:rsid w:val="0845254C"/>
    <w:rsid w:val="09145B3E"/>
    <w:rsid w:val="09701CBB"/>
    <w:rsid w:val="0AD15484"/>
    <w:rsid w:val="0B3866B7"/>
    <w:rsid w:val="0B4D3BF1"/>
    <w:rsid w:val="0B755F17"/>
    <w:rsid w:val="0CEE574A"/>
    <w:rsid w:val="0DE36CE0"/>
    <w:rsid w:val="102E1B18"/>
    <w:rsid w:val="116A030D"/>
    <w:rsid w:val="12292332"/>
    <w:rsid w:val="13FA41EA"/>
    <w:rsid w:val="14DC7D94"/>
    <w:rsid w:val="150F0169"/>
    <w:rsid w:val="16BA2357"/>
    <w:rsid w:val="18A735C6"/>
    <w:rsid w:val="1A4C6862"/>
    <w:rsid w:val="1AF251F0"/>
    <w:rsid w:val="1E6233AF"/>
    <w:rsid w:val="1E95264D"/>
    <w:rsid w:val="20296C73"/>
    <w:rsid w:val="212D1DF7"/>
    <w:rsid w:val="228E5D7F"/>
    <w:rsid w:val="233E58F6"/>
    <w:rsid w:val="236A64B3"/>
    <w:rsid w:val="24253506"/>
    <w:rsid w:val="25F27E7D"/>
    <w:rsid w:val="27530073"/>
    <w:rsid w:val="28FB4835"/>
    <w:rsid w:val="2A5A5A5B"/>
    <w:rsid w:val="2B0C105C"/>
    <w:rsid w:val="2BC162C8"/>
    <w:rsid w:val="2CA60B5E"/>
    <w:rsid w:val="2F430CE4"/>
    <w:rsid w:val="316D4A52"/>
    <w:rsid w:val="322C3CB1"/>
    <w:rsid w:val="331C1F78"/>
    <w:rsid w:val="33745697"/>
    <w:rsid w:val="33C66555"/>
    <w:rsid w:val="35A20746"/>
    <w:rsid w:val="39333C5D"/>
    <w:rsid w:val="3C7045F2"/>
    <w:rsid w:val="3CA332BD"/>
    <w:rsid w:val="3DE418E4"/>
    <w:rsid w:val="3EC7454F"/>
    <w:rsid w:val="3F4F1528"/>
    <w:rsid w:val="40C97F77"/>
    <w:rsid w:val="414F693A"/>
    <w:rsid w:val="44986F84"/>
    <w:rsid w:val="44E15E42"/>
    <w:rsid w:val="478A7899"/>
    <w:rsid w:val="48A31161"/>
    <w:rsid w:val="48BF78A0"/>
    <w:rsid w:val="49D92519"/>
    <w:rsid w:val="4C262825"/>
    <w:rsid w:val="4DCA3EA7"/>
    <w:rsid w:val="4E0854C3"/>
    <w:rsid w:val="4FF27E90"/>
    <w:rsid w:val="50582653"/>
    <w:rsid w:val="515D758B"/>
    <w:rsid w:val="52583F3C"/>
    <w:rsid w:val="5531145B"/>
    <w:rsid w:val="590533CA"/>
    <w:rsid w:val="59600B96"/>
    <w:rsid w:val="5A9D19E3"/>
    <w:rsid w:val="5AF14410"/>
    <w:rsid w:val="5B5419FF"/>
    <w:rsid w:val="5C322D09"/>
    <w:rsid w:val="5F742670"/>
    <w:rsid w:val="64426BE3"/>
    <w:rsid w:val="65DA51F7"/>
    <w:rsid w:val="67866403"/>
    <w:rsid w:val="67A87DFB"/>
    <w:rsid w:val="688C42B2"/>
    <w:rsid w:val="68AB2E7A"/>
    <w:rsid w:val="6D0A561B"/>
    <w:rsid w:val="6E9543C5"/>
    <w:rsid w:val="702E2DD0"/>
    <w:rsid w:val="71302923"/>
    <w:rsid w:val="750A60E9"/>
    <w:rsid w:val="753452EE"/>
    <w:rsid w:val="75586760"/>
    <w:rsid w:val="77A1284B"/>
    <w:rsid w:val="79853572"/>
    <w:rsid w:val="7B901769"/>
    <w:rsid w:val="7E53749D"/>
    <w:rsid w:val="7F2A4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2267</Words>
  <Characters>2512</Characters>
  <Lines>0</Lines>
  <Paragraphs>0</Paragraphs>
  <TotalTime>1</TotalTime>
  <ScaleCrop>false</ScaleCrop>
  <LinksUpToDate>false</LinksUpToDate>
  <CharactersWithSpaces>2528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2022-01-21T02:49:00Z</dcterms:created>
  <dc:creator>徐泽安</dc:creator>
  <cp:lastModifiedBy>WPS_1568768511</cp:lastModifiedBy>
  <cp:lastPrinted>2022-06-10T02:37:00Z</cp:lastPrinted>
  <dcterms:modified xsi:type="dcterms:W3CDTF">2023-10-25T03:05:42Z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EF37525CC04643DF9FDE52ACF8E2EEB0_13</vt:lpwstr>
  </property>
</Properties>
</file>